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9F877" w14:textId="77777777" w:rsidR="00754C16" w:rsidRDefault="00A70916" w:rsidP="00A70916">
      <w:pPr>
        <w:jc w:val="center"/>
      </w:pPr>
      <w:r>
        <w:t>UV-vis Molecular Spectroscopy Laboratory Report</w:t>
      </w:r>
    </w:p>
    <w:p w14:paraId="53FDA820" w14:textId="77777777" w:rsidR="00A70916" w:rsidRDefault="00A70916" w:rsidP="00A70916">
      <w:pPr>
        <w:jc w:val="center"/>
      </w:pPr>
      <w:r>
        <w:t>Richard S. Welter</w:t>
      </w:r>
    </w:p>
    <w:p w14:paraId="4527A49F" w14:textId="77777777" w:rsidR="00A70916" w:rsidRDefault="00A70916" w:rsidP="00A70916">
      <w:pPr>
        <w:jc w:val="center"/>
      </w:pPr>
    </w:p>
    <w:p w14:paraId="1CE34F2A" w14:textId="77777777" w:rsidR="00A70916" w:rsidRDefault="00A70916" w:rsidP="00A70916">
      <w:pPr>
        <w:rPr>
          <w:b/>
        </w:rPr>
      </w:pPr>
      <w:r>
        <w:rPr>
          <w:b/>
        </w:rPr>
        <w:t>Introduction</w:t>
      </w:r>
    </w:p>
    <w:p w14:paraId="5760CB35" w14:textId="77777777" w:rsidR="00A70916" w:rsidRDefault="00A70916" w:rsidP="00A70916">
      <w:pPr>
        <w:rPr>
          <w:b/>
        </w:rPr>
      </w:pPr>
    </w:p>
    <w:p w14:paraId="37609F00" w14:textId="7A821D30" w:rsidR="00A70916" w:rsidRPr="00463AC8" w:rsidRDefault="00463AC8" w:rsidP="00A70916">
      <w:r>
        <w:t xml:space="preserve">Molecular spectroscopy is based on the measurement of transmittance or absorbance of solutions contained in </w:t>
      </w:r>
      <w:r w:rsidR="00417E42">
        <w:t>sample containers</w:t>
      </w:r>
      <w:r w:rsidR="00417E42" w:rsidRPr="00417E42">
        <w:t>.  Measuring</w:t>
      </w:r>
      <w:r w:rsidR="00417E42">
        <w:rPr>
          <w:color w:val="FF0000"/>
        </w:rPr>
        <w:t xml:space="preserve"> </w:t>
      </w:r>
      <w:r>
        <w:t>absorption spectra for organic species with known molecular structures, effects of molecular structure and functional groups on absorbance can be easily studied.  Absorption of ultraviolet and/or visible radiation usually results from the bonding electrons getting excited; wavelengths of absorption peaks are correlated with the types of bonds that are present.  It is then concluded that the absorbance spectrum of any given compound is dependent on the molecular structure in addition to the species’ environment</w:t>
      </w:r>
      <w:r w:rsidR="006C02A3">
        <w:rPr>
          <w:vertAlign w:val="superscript"/>
        </w:rPr>
        <w:t>1</w:t>
      </w:r>
      <w:r>
        <w:t>. In this laboratory specifically</w:t>
      </w:r>
      <w:r w:rsidR="0052283E">
        <w:t>, we were to use hydrocarbons/</w:t>
      </w:r>
      <w:r>
        <w:t>aromatic compounds</w:t>
      </w:r>
      <w:r w:rsidR="00013113">
        <w:t xml:space="preserve"> (Figure 1)</w:t>
      </w:r>
      <w:r>
        <w:t xml:space="preserve"> and record the absorbance spectra for each and determine the absorbance at </w:t>
      </w:r>
      <w:r w:rsidR="003C7402">
        <w:rPr>
          <w:lang w:val="el-GR"/>
        </w:rPr>
        <w:t>λ</w:t>
      </w:r>
      <w:r w:rsidR="003C7402">
        <w:rPr>
          <w:vertAlign w:val="subscript"/>
        </w:rPr>
        <w:t>max</w:t>
      </w:r>
      <w:r w:rsidR="003C7402">
        <w:t xml:space="preserve"> and all the peak </w:t>
      </w:r>
      <w:r w:rsidR="003C7402">
        <w:rPr>
          <w:lang w:val="el-GR"/>
        </w:rPr>
        <w:t>λ</w:t>
      </w:r>
      <w:r w:rsidR="003C7402">
        <w:t xml:space="preserve">’s.  </w:t>
      </w:r>
      <w:r w:rsidR="00417E42">
        <w:t>By</w:t>
      </w:r>
      <w:r w:rsidR="003C7402">
        <w:t xml:space="preserve"> using Beer’s Law as reference, we are able to determine the aromatic compound’s </w:t>
      </w:r>
      <w:r w:rsidR="00417E42" w:rsidRPr="00417E42">
        <w:t>molar</w:t>
      </w:r>
      <w:r w:rsidR="00417E42">
        <w:t xml:space="preserve"> absorptivity</w:t>
      </w:r>
      <w:r w:rsidR="003C7402">
        <w:t xml:space="preserve"> (</w:t>
      </w:r>
      <w:r w:rsidR="003C7402">
        <w:rPr>
          <w:lang w:val="el-GR"/>
        </w:rPr>
        <w:t xml:space="preserve">ε), LOD, LOL, and LOQ. </w:t>
      </w:r>
      <w:r>
        <w:t xml:space="preserve">   </w:t>
      </w:r>
    </w:p>
    <w:p w14:paraId="10C08850" w14:textId="77777777" w:rsidR="00A70916" w:rsidRDefault="00A70916" w:rsidP="00A70916">
      <w:pPr>
        <w:rPr>
          <w:b/>
        </w:rPr>
      </w:pPr>
    </w:p>
    <w:p w14:paraId="453A1936" w14:textId="77777777" w:rsidR="00A70916" w:rsidRDefault="00A70916" w:rsidP="00A70916">
      <w:pPr>
        <w:rPr>
          <w:b/>
        </w:rPr>
      </w:pPr>
      <w:r>
        <w:rPr>
          <w:b/>
        </w:rPr>
        <w:t>Experimental</w:t>
      </w:r>
    </w:p>
    <w:p w14:paraId="2D67B4CE" w14:textId="77777777" w:rsidR="00562BA4" w:rsidRDefault="00562BA4" w:rsidP="00A70916">
      <w:pPr>
        <w:rPr>
          <w:b/>
        </w:rPr>
      </w:pPr>
    </w:p>
    <w:p w14:paraId="7E8FFF26" w14:textId="0E851C7D" w:rsidR="00562BA4" w:rsidRPr="00562BA4" w:rsidRDefault="00562BA4" w:rsidP="00A70916">
      <w:r>
        <w:t xml:space="preserve">The following compounds were used as received in this study: </w:t>
      </w:r>
      <w:r>
        <w:t>Anthracene (Aldrich Chem. Co., Milw., WI 53201; 14,106-2)</w:t>
      </w:r>
      <w:r>
        <w:t xml:space="preserve">, Naphthalene </w:t>
      </w:r>
      <w:r>
        <w:t>(Aldrich Chem. Co., Milw., WI</w:t>
      </w:r>
      <w:r>
        <w:t xml:space="preserve"> 53201; 18,450-0</w:t>
      </w:r>
      <w:r>
        <w:t>)</w:t>
      </w:r>
      <w:r>
        <w:t xml:space="preserve">, 1,2-Benzathracene (Aldrich Chem. Co., Milw., WI 53201; B220-9), Benzene (Sigma-Aldrich Co., St. Louis, MO 63013; 443603), and Dibenzothiophene </w:t>
      </w:r>
      <w:r>
        <w:t>(Aldrich Chem. Co., Milw., WI 53201; D3, 220-2)</w:t>
      </w:r>
      <w:r>
        <w:t>.</w:t>
      </w:r>
    </w:p>
    <w:p w14:paraId="60E616A4" w14:textId="77777777" w:rsidR="003C7402" w:rsidRDefault="003C7402" w:rsidP="00A70916">
      <w:pPr>
        <w:rPr>
          <w:b/>
        </w:rPr>
      </w:pPr>
    </w:p>
    <w:p w14:paraId="0C75D8FE" w14:textId="013AAA1D" w:rsidR="003D44C2" w:rsidRPr="00000E4E" w:rsidRDefault="003D44C2" w:rsidP="003D44C2">
      <w:pPr>
        <w:rPr>
          <w:color w:val="FF0000"/>
        </w:rPr>
      </w:pPr>
      <w:r>
        <w:t xml:space="preserve">Class-A Volumetric Flasks and </w:t>
      </w:r>
      <w:r w:rsidR="00277EA9" w:rsidRPr="00417E42">
        <w:t>methanol</w:t>
      </w:r>
      <w:r w:rsidR="00562BA4">
        <w:t xml:space="preserve"> </w:t>
      </w:r>
      <w:r w:rsidR="00562BA4">
        <w:t>(</w:t>
      </w:r>
      <w:r w:rsidR="00562BA4" w:rsidRPr="00000E4E">
        <w:t>Sigma-Aldrich</w:t>
      </w:r>
      <w:r w:rsidR="00562BA4">
        <w:t xml:space="preserve"> Co.</w:t>
      </w:r>
      <w:r w:rsidR="00562BA4" w:rsidRPr="00000E4E">
        <w:t>,</w:t>
      </w:r>
      <w:r w:rsidR="00562BA4">
        <w:t xml:space="preserve"> St. Louis</w:t>
      </w:r>
      <w:r w:rsidR="00562BA4" w:rsidRPr="00000E4E">
        <w:t xml:space="preserve"> MO,</w:t>
      </w:r>
      <w:r w:rsidR="00562BA4">
        <w:t xml:space="preserve"> 63013;</w:t>
      </w:r>
      <w:r w:rsidR="00562BA4" w:rsidRPr="00000E4E">
        <w:t xml:space="preserve">  67-56-1)</w:t>
      </w:r>
      <w:r w:rsidRPr="00417E42">
        <w:t xml:space="preserve"> wer</w:t>
      </w:r>
      <w:r w:rsidR="00277EA9" w:rsidRPr="00417E42">
        <w:t xml:space="preserve">e used to prepare all standards.  </w:t>
      </w:r>
      <w:r>
        <w:t xml:space="preserve">0.1850g of Anthracene </w:t>
      </w:r>
      <w:r w:rsidR="00417E42">
        <w:t>was dissolved in</w:t>
      </w:r>
      <w:r w:rsidR="004D35A5">
        <w:t xml:space="preserve"> 25mL of methanol</w:t>
      </w:r>
      <w:r w:rsidR="00000E4E" w:rsidRPr="00000E4E">
        <w:t>.</w:t>
      </w:r>
      <w:r w:rsidRPr="00000E4E">
        <w:t xml:space="preserve"> </w:t>
      </w:r>
      <w:r w:rsidR="00000E4E" w:rsidRPr="00000E4E">
        <w:t xml:space="preserve"> </w:t>
      </w:r>
      <w:r>
        <w:t xml:space="preserve">This standard was used to create a serial dilution so that the appropriate concentration of </w:t>
      </w:r>
      <w:r w:rsidR="004D35A5">
        <w:t>10</w:t>
      </w:r>
      <w:r w:rsidR="004D35A5">
        <w:rPr>
          <w:vertAlign w:val="superscript"/>
        </w:rPr>
        <w:t>-4</w:t>
      </w:r>
      <w:r w:rsidR="004D35A5">
        <w:t>M</w:t>
      </w:r>
      <w:r>
        <w:t xml:space="preserve"> of Anthracene could be achieved. </w:t>
      </w:r>
      <w:r w:rsidR="008B5FFE">
        <w:t>The procedure calls for the solution to be prepared at a range of 10</w:t>
      </w:r>
      <w:r w:rsidR="008B5FFE">
        <w:rPr>
          <w:vertAlign w:val="superscript"/>
        </w:rPr>
        <w:t>-4</w:t>
      </w:r>
      <w:r w:rsidR="004D35A5">
        <w:t>M</w:t>
      </w:r>
      <w:r w:rsidR="008B5FFE">
        <w:t xml:space="preserve"> to 10</w:t>
      </w:r>
      <w:r w:rsidR="008B5FFE">
        <w:rPr>
          <w:vertAlign w:val="superscript"/>
        </w:rPr>
        <w:t>-7</w:t>
      </w:r>
      <w:r w:rsidR="004D35A5">
        <w:t>M</w:t>
      </w:r>
      <w:r w:rsidR="008B5FFE">
        <w:t xml:space="preserve"> because if the solution is too concentrated, the “fine”</w:t>
      </w:r>
      <w:r w:rsidR="004D35A5">
        <w:t xml:space="preserve"> features could</w:t>
      </w:r>
      <w:r w:rsidR="008B5FFE">
        <w:t xml:space="preserve"> not be seen as well; in addition, if the solution is too dilute, there will be no reading</w:t>
      </w:r>
      <w:r w:rsidR="004D35A5">
        <w:t xml:space="preserve"> at all</w:t>
      </w:r>
      <w:r w:rsidR="008B5FFE">
        <w:t xml:space="preserve">.  </w:t>
      </w:r>
      <w:r>
        <w:t xml:space="preserve">The instrument used to detect the atoms in the standard was a UV-2501 PC Spectrophotometer (Shimadzu, Kyoto, Japan). </w:t>
      </w:r>
      <w:r w:rsidR="008B5FFE">
        <w:t xml:space="preserve"> </w:t>
      </w:r>
      <w:r>
        <w:t xml:space="preserve">This </w:t>
      </w:r>
      <w:r w:rsidR="008B5FFE">
        <w:t xml:space="preserve">instrument specifically can run the blank and solution </w:t>
      </w:r>
      <w:r>
        <w:t>simultaneously</w:t>
      </w:r>
      <w:r w:rsidR="008B5FFE">
        <w:t xml:space="preserve">.  Furthermore, this UV-vis spec contains a PMT transducer and the source is a tungsten lamp. </w:t>
      </w:r>
    </w:p>
    <w:p w14:paraId="75FF6C3D" w14:textId="77777777" w:rsidR="00A70916" w:rsidRDefault="00A70916" w:rsidP="00A70916">
      <w:pPr>
        <w:rPr>
          <w:b/>
        </w:rPr>
      </w:pPr>
    </w:p>
    <w:p w14:paraId="62E8581E" w14:textId="77777777" w:rsidR="00A70916" w:rsidRDefault="00A70916" w:rsidP="00A70916">
      <w:pPr>
        <w:rPr>
          <w:b/>
        </w:rPr>
      </w:pPr>
      <w:r>
        <w:rPr>
          <w:b/>
        </w:rPr>
        <w:t>Results &amp; Discussion</w:t>
      </w:r>
    </w:p>
    <w:p w14:paraId="4D2F64D6" w14:textId="77777777" w:rsidR="008B5FFE" w:rsidRDefault="008B5FFE" w:rsidP="00A70916">
      <w:pPr>
        <w:rPr>
          <w:b/>
        </w:rPr>
      </w:pPr>
    </w:p>
    <w:p w14:paraId="6E20442E" w14:textId="658CB8F5" w:rsidR="00EC74E6" w:rsidRDefault="00BD7190" w:rsidP="00A70916">
      <w:r>
        <w:t xml:space="preserve">The </w:t>
      </w:r>
      <w:r w:rsidR="00417E42">
        <w:t>spectra</w:t>
      </w:r>
      <w:r w:rsidR="00013113">
        <w:t xml:space="preserve"> (Figure 2</w:t>
      </w:r>
      <w:r>
        <w:t>) indicate that my com</w:t>
      </w:r>
      <w:r w:rsidR="00417E42">
        <w:t>pound in particular—as shown in olive</w:t>
      </w:r>
      <w:r w:rsidRPr="00417E42">
        <w:t xml:space="preserve"> green</w:t>
      </w:r>
      <w:r w:rsidR="00417E42" w:rsidRPr="00417E42">
        <w:t xml:space="preserve">—was not </w:t>
      </w:r>
      <w:r>
        <w:t xml:space="preserve">concentrated enough to detail the fine features like the others.  Because of this “bad” reading, we unanimously decided to use </w:t>
      </w:r>
      <w:r w:rsidR="00535389">
        <w:t>D</w:t>
      </w:r>
      <w:r>
        <w:t>ibenzothiophene</w:t>
      </w:r>
      <w:r w:rsidR="00535389">
        <w:t>, which is repr</w:t>
      </w:r>
      <w:r w:rsidR="00013113">
        <w:t>esented as the green in Figure 2</w:t>
      </w:r>
      <w:r w:rsidR="0052283E">
        <w:t>,</w:t>
      </w:r>
      <w:r w:rsidR="00417E42">
        <w:t xml:space="preserve"> </w:t>
      </w:r>
      <w:r w:rsidR="00535389">
        <w:t>for further study</w:t>
      </w:r>
      <w:r w:rsidR="00EC74E6">
        <w:t>.</w:t>
      </w:r>
      <w:r w:rsidR="0052283E">
        <w:t xml:space="preserve">  Using the Dibenzothiophene’s spectra</w:t>
      </w:r>
      <w:r w:rsidR="00535389">
        <w:t xml:space="preserve">, as shown in Figure 2, we were able to calculate </w:t>
      </w:r>
      <w:r w:rsidR="00535389">
        <w:rPr>
          <w:lang w:val="el-GR"/>
        </w:rPr>
        <w:t>ε</w:t>
      </w:r>
      <w:r w:rsidR="00535389">
        <w:t xml:space="preserve"> using Beer’</w:t>
      </w:r>
      <w:r w:rsidR="001D58B1">
        <w:t xml:space="preserve">s Law.  With a </w:t>
      </w:r>
      <w:r w:rsidR="001D58B1">
        <w:rPr>
          <w:lang w:val="el-GR"/>
        </w:rPr>
        <w:t>ε value of 42,541 L*mol</w:t>
      </w:r>
      <w:r w:rsidR="001D58B1">
        <w:rPr>
          <w:vertAlign w:val="superscript"/>
          <w:lang w:val="el-GR"/>
        </w:rPr>
        <w:t>-1</w:t>
      </w:r>
      <w:r w:rsidR="001D58B1">
        <w:rPr>
          <w:lang w:val="el-GR"/>
        </w:rPr>
        <w:t>*cm</w:t>
      </w:r>
      <w:r w:rsidR="001D58B1">
        <w:rPr>
          <w:vertAlign w:val="superscript"/>
          <w:lang w:val="el-GR"/>
        </w:rPr>
        <w:t>-1</w:t>
      </w:r>
      <w:r w:rsidR="001D58B1">
        <w:rPr>
          <w:lang w:val="el-GR"/>
        </w:rPr>
        <w:t xml:space="preserve">, </w:t>
      </w:r>
      <w:r w:rsidR="00417E42">
        <w:rPr>
          <w:lang w:val="el-GR"/>
        </w:rPr>
        <w:t xml:space="preserve">we decided </w:t>
      </w:r>
      <w:r w:rsidR="00F60F35">
        <w:rPr>
          <w:lang w:val="el-GR"/>
        </w:rPr>
        <w:t xml:space="preserve">to </w:t>
      </w:r>
      <w:r w:rsidR="00F60F35" w:rsidRPr="00417E42">
        <w:rPr>
          <w:lang w:val="el-GR"/>
        </w:rPr>
        <w:t>dilute</w:t>
      </w:r>
      <w:r w:rsidR="00417E42" w:rsidRPr="00417E42">
        <w:rPr>
          <w:lang w:val="el-GR"/>
        </w:rPr>
        <w:t xml:space="preserve"> 1.02x10</w:t>
      </w:r>
      <w:r w:rsidR="00417E42" w:rsidRPr="00417E42">
        <w:rPr>
          <w:vertAlign w:val="superscript"/>
          <w:lang w:val="el-GR"/>
        </w:rPr>
        <w:t>-4</w:t>
      </w:r>
      <w:r w:rsidR="00417E42" w:rsidRPr="00417E42">
        <w:rPr>
          <w:lang w:val="el-GR"/>
        </w:rPr>
        <w:t>M by</w:t>
      </w:r>
      <w:r w:rsidR="00F60F35" w:rsidRPr="00417E42">
        <w:rPr>
          <w:lang w:val="el-GR"/>
        </w:rPr>
        <w:t xml:space="preserve"> a factor of 5</w:t>
      </w:r>
      <w:r w:rsidR="00417E42">
        <w:rPr>
          <w:lang w:val="el-GR"/>
        </w:rPr>
        <w:t xml:space="preserve"> to give us </w:t>
      </w:r>
      <w:r w:rsidR="00F60F35">
        <w:rPr>
          <w:lang w:val="el-GR"/>
        </w:rPr>
        <w:t>finer peaks</w:t>
      </w:r>
      <w:r w:rsidR="00417E42">
        <w:rPr>
          <w:lang w:val="el-GR"/>
        </w:rPr>
        <w:t>, as shown in Table 1</w:t>
      </w:r>
      <w:r w:rsidR="00F60F35">
        <w:rPr>
          <w:lang w:val="el-GR"/>
        </w:rPr>
        <w:t xml:space="preserve">. </w:t>
      </w:r>
      <w:r w:rsidR="00535389">
        <w:t xml:space="preserve"> </w:t>
      </w:r>
      <w:r w:rsidR="00417E42">
        <w:t>We</w:t>
      </w:r>
      <w:r w:rsidR="0012624D">
        <w:t xml:space="preserve"> were able to calculate the concentrations for the five serial dilutions, as shown in Table 1.  After calculating the concentrations, we were able to prepare a Beer’s Law calibration plot in order to calculate </w:t>
      </w:r>
      <w:r w:rsidR="0012624D">
        <w:rPr>
          <w:lang w:val="el-GR"/>
        </w:rPr>
        <w:t xml:space="preserve">ε, </w:t>
      </w:r>
      <w:r w:rsidR="0012624D">
        <w:rPr>
          <w:lang w:val="el-GR"/>
        </w:rPr>
        <w:lastRenderedPageBreak/>
        <w:t>LOD, LOL, and LOQ, as shown in Figure 3.</w:t>
      </w:r>
      <w:r w:rsidR="0012624D">
        <w:t xml:space="preserve"> </w:t>
      </w:r>
      <w:r w:rsidR="003333AB">
        <w:t xml:space="preserve"> </w:t>
      </w:r>
      <w:r w:rsidR="009A0B8D">
        <w:t>In order to calculate LOD, we had to determine standard deviation (</w:t>
      </w:r>
      <w:r w:rsidR="009A0B8D">
        <w:rPr>
          <w:lang w:val="el-GR"/>
        </w:rPr>
        <w:t>σ</w:t>
      </w:r>
      <w:r w:rsidR="009A0B8D">
        <w:t xml:space="preserve">) of the </w:t>
      </w:r>
      <w:r w:rsidR="00417E42">
        <w:t>blank absorbance values</w:t>
      </w:r>
      <w:r w:rsidR="009A0B8D">
        <w:t xml:space="preserve">.  </w:t>
      </w:r>
      <w:r w:rsidR="00417E42">
        <w:t>After twelve runs of methanol, we calculated a</w:t>
      </w:r>
      <w:r w:rsidR="009A0B8D">
        <w:t xml:space="preserve"> standard deviation value of 1.24x10</w:t>
      </w:r>
      <w:r w:rsidR="009A0B8D">
        <w:rPr>
          <w:vertAlign w:val="superscript"/>
        </w:rPr>
        <w:t>-3</w:t>
      </w:r>
      <w:r w:rsidR="009A0B8D">
        <w:t>. Since LOD is (3σ/</w:t>
      </w:r>
      <w:r w:rsidR="009A0B8D">
        <w:rPr>
          <w:i/>
        </w:rPr>
        <w:t>m</w:t>
      </w:r>
      <w:r w:rsidR="009A0B8D">
        <w:t xml:space="preserve">), where </w:t>
      </w:r>
      <w:r w:rsidR="009A0B8D">
        <w:rPr>
          <w:i/>
        </w:rPr>
        <w:t>m</w:t>
      </w:r>
      <w:r w:rsidR="009A0B8D">
        <w:t xml:space="preserve"> is the slope of the calibration curve on Figure 3, we got an LOD value of 6.81x10</w:t>
      </w:r>
      <w:r w:rsidR="009A0B8D">
        <w:rPr>
          <w:vertAlign w:val="superscript"/>
        </w:rPr>
        <w:t>-8</w:t>
      </w:r>
      <w:r w:rsidR="009A0B8D">
        <w:t xml:space="preserve"> mol/L. </w:t>
      </w:r>
      <w:r w:rsidR="00FD017C">
        <w:t xml:space="preserve"> Furthermore, s</w:t>
      </w:r>
      <w:r w:rsidR="009A0B8D">
        <w:t>ince LOQ is (3*LOD), our LOQ came out to be 2.04x10</w:t>
      </w:r>
      <w:r w:rsidR="009A0B8D">
        <w:rPr>
          <w:vertAlign w:val="superscript"/>
        </w:rPr>
        <w:t>-7</w:t>
      </w:r>
      <w:r w:rsidR="009A0B8D">
        <w:t xml:space="preserve"> mol/L.  </w:t>
      </w:r>
      <w:r w:rsidR="003333AB">
        <w:t xml:space="preserve">Please note that LOQ and LOD were not plotted in Figure 3 because those </w:t>
      </w:r>
      <w:r w:rsidR="00FD017C">
        <w:t>values are</w:t>
      </w:r>
      <w:r w:rsidR="003333AB">
        <w:t xml:space="preserve"> part of the non-linear regions of the calibration curve.</w:t>
      </w:r>
      <w:r w:rsidR="00BB74CF">
        <w:t xml:space="preserve">  Because we did not have enough absorbance measurements, we are not able to extrapolate a defined LOL value. </w:t>
      </w:r>
      <w:r w:rsidR="00FD017C">
        <w:t xml:space="preserve"> </w:t>
      </w:r>
      <w:r w:rsidR="00FD017C" w:rsidRPr="00FD017C">
        <w:t>We</w:t>
      </w:r>
      <w:r w:rsidR="00FD017C">
        <w:rPr>
          <w:color w:val="FF0000"/>
        </w:rPr>
        <w:t xml:space="preserve"> </w:t>
      </w:r>
      <w:r w:rsidR="00BB74CF">
        <w:t>assume that the LOL value to be 1.02x10</w:t>
      </w:r>
      <w:r w:rsidR="00BB74CF">
        <w:rPr>
          <w:vertAlign w:val="superscript"/>
        </w:rPr>
        <w:t>-4</w:t>
      </w:r>
      <w:r w:rsidR="00BB74CF">
        <w:t xml:space="preserve">M since at this concentration an absorbance of 4.5321 was outside the linear range.  And finally, using the slope from Figure 3, </w:t>
      </w:r>
      <w:r w:rsidR="00BB74CF">
        <w:rPr>
          <w:lang w:val="el-GR"/>
        </w:rPr>
        <w:t>ε</w:t>
      </w:r>
      <w:r w:rsidR="00FD017C">
        <w:rPr>
          <w:lang w:val="el-GR"/>
        </w:rPr>
        <w:t xml:space="preserve"> for Dibenzothiophene</w:t>
      </w:r>
      <w:r w:rsidR="00BB74CF">
        <w:t xml:space="preserve"> is 54546 L*mol</w:t>
      </w:r>
      <w:r w:rsidR="00BB74CF">
        <w:rPr>
          <w:vertAlign w:val="superscript"/>
        </w:rPr>
        <w:t>-1</w:t>
      </w:r>
      <w:r w:rsidR="00BB74CF">
        <w:t>*cm</w:t>
      </w:r>
      <w:r w:rsidR="00BB74CF">
        <w:rPr>
          <w:vertAlign w:val="superscript"/>
        </w:rPr>
        <w:t>-1</w:t>
      </w:r>
      <w:r w:rsidR="00E07E33">
        <w:t>.</w:t>
      </w:r>
    </w:p>
    <w:p w14:paraId="7C5F49B2" w14:textId="77777777" w:rsidR="009C0FA9" w:rsidRDefault="009C0FA9" w:rsidP="00A70916"/>
    <w:p w14:paraId="6E9B2799" w14:textId="53F938D0" w:rsidR="009C0FA9" w:rsidRPr="009C0FA9" w:rsidRDefault="009C0FA9" w:rsidP="00A70916">
      <w:r>
        <w:t xml:space="preserve">Another facet that is important to take into consideration is how molecular structure relates to spectral features.  In this lab specifically, </w:t>
      </w:r>
      <w:r w:rsidR="00DC59B9">
        <w:t xml:space="preserve">benzene was our reference compound because its structure the most basic of the five studied (Figure 1).  In solution, benzene has a </w:t>
      </w:r>
      <w:r w:rsidR="00DC59B9">
        <w:rPr>
          <w:lang w:val="el-GR"/>
        </w:rPr>
        <w:t>λ</w:t>
      </w:r>
      <w:r w:rsidR="00DC59B9">
        <w:rPr>
          <w:vertAlign w:val="subscript"/>
        </w:rPr>
        <w:t xml:space="preserve">max </w:t>
      </w:r>
      <w:r w:rsidR="00DC59B9">
        <w:t xml:space="preserve">at 200-210nm.  When comparing the other compounds in this study, Naphthalene has a </w:t>
      </w:r>
      <w:r w:rsidR="00DC59B9">
        <w:rPr>
          <w:lang w:val="el-GR"/>
        </w:rPr>
        <w:t>λ</w:t>
      </w:r>
      <w:r w:rsidR="00DC59B9">
        <w:rPr>
          <w:vertAlign w:val="subscript"/>
        </w:rPr>
        <w:t>max</w:t>
      </w:r>
      <w:r w:rsidR="00DC59B9">
        <w:t xml:space="preserve"> at 225nm, Anthracene has a </w:t>
      </w:r>
      <w:r w:rsidR="00DC59B9">
        <w:rPr>
          <w:lang w:val="el-GR"/>
        </w:rPr>
        <w:t>λ</w:t>
      </w:r>
      <w:r w:rsidR="00DC59B9">
        <w:rPr>
          <w:vertAlign w:val="subscript"/>
        </w:rPr>
        <w:t>max</w:t>
      </w:r>
      <w:r w:rsidR="00DC59B9">
        <w:t xml:space="preserve"> at 250nm, 1,2-Benzathracene has a </w:t>
      </w:r>
      <w:r w:rsidR="00DC59B9">
        <w:rPr>
          <w:lang w:val="el-GR"/>
        </w:rPr>
        <w:t>λ</w:t>
      </w:r>
      <w:r w:rsidR="00DC59B9">
        <w:rPr>
          <w:vertAlign w:val="subscript"/>
        </w:rPr>
        <w:t>max</w:t>
      </w:r>
      <w:r w:rsidR="00DC59B9">
        <w:t xml:space="preserve"> at</w:t>
      </w:r>
      <w:r w:rsidR="007E4E01">
        <w:t xml:space="preserve"> 275nm, and Dibenzothiophene has a </w:t>
      </w:r>
      <w:r w:rsidR="007E4E01">
        <w:rPr>
          <w:lang w:val="el-GR"/>
        </w:rPr>
        <w:t>λ</w:t>
      </w:r>
      <w:r w:rsidR="007E4E01">
        <w:rPr>
          <w:vertAlign w:val="subscript"/>
        </w:rPr>
        <w:t>max</w:t>
      </w:r>
      <w:r w:rsidR="007E4E01">
        <w:t xml:space="preserve"> at around 240nm.  This change in </w:t>
      </w:r>
      <w:r w:rsidR="007E4E01">
        <w:rPr>
          <w:lang w:val="el-GR"/>
        </w:rPr>
        <w:t>λ</w:t>
      </w:r>
      <w:r w:rsidR="007E4E01">
        <w:rPr>
          <w:vertAlign w:val="subscript"/>
        </w:rPr>
        <w:t>max</w:t>
      </w:r>
      <w:r w:rsidR="007E4E01">
        <w:t xml:space="preserve"> is the result of adding homoannular ring systems onto the benzene ring.  For Dibenzothiophene specifically, the thiophene ring is an auxochrome</w:t>
      </w:r>
      <w:r w:rsidR="00DA3A28">
        <w:t xml:space="preserve">, which means a substitution </w:t>
      </w:r>
      <w:r w:rsidR="00600133">
        <w:t>containing unshared electrons</w:t>
      </w:r>
      <w:r w:rsidR="007E4E01">
        <w:t>.  These substitutions (homoannular and auxochromes) move the absorption maximum to longer wavelengths.  That being said, adding homoannular ring systems and auxochromes onto conjugated ring systems result in a bathochromic shift, which is evident by referring to Figure 2</w:t>
      </w:r>
      <w:r w:rsidR="007E4E01">
        <w:rPr>
          <w:vertAlign w:val="superscript"/>
        </w:rPr>
        <w:t>2</w:t>
      </w:r>
      <w:r w:rsidR="007E4E01">
        <w:t xml:space="preserve">.     </w:t>
      </w:r>
      <w:r w:rsidR="00DC59B9">
        <w:t xml:space="preserve">      </w:t>
      </w:r>
    </w:p>
    <w:p w14:paraId="51FD0E70" w14:textId="77777777" w:rsidR="00E07E33" w:rsidRDefault="00E07E33" w:rsidP="00A70916"/>
    <w:p w14:paraId="0346DE91" w14:textId="088A42A6" w:rsidR="00E07E33" w:rsidRPr="00100F19" w:rsidRDefault="00E07E33" w:rsidP="00A70916">
      <w:pPr>
        <w:rPr>
          <w:color w:val="FF0000"/>
        </w:rPr>
      </w:pPr>
      <w:r>
        <w:t xml:space="preserve">What can be applied from this is what colors can be </w:t>
      </w:r>
      <w:r w:rsidRPr="00FD017C">
        <w:t>emitted, since hydrocarbons</w:t>
      </w:r>
      <w:r w:rsidR="00FD017C" w:rsidRPr="00FD017C">
        <w:t xml:space="preserve"> with conjugated </w:t>
      </w:r>
      <w:r w:rsidR="00FD017C" w:rsidRPr="00FD017C">
        <w:rPr>
          <w:lang w:val="el-GR"/>
        </w:rPr>
        <w:t>π</w:t>
      </w:r>
      <w:r w:rsidR="00FD017C" w:rsidRPr="00FD017C">
        <w:t>-bonds</w:t>
      </w:r>
      <w:r w:rsidRPr="00FD017C">
        <w:t xml:space="preserve"> fluoresces and/or phosphoresces</w:t>
      </w:r>
      <w:r>
        <w:t>.  For example, if I were to use R</w:t>
      </w:r>
      <w:r w:rsidR="00FD017C">
        <w:t>u</w:t>
      </w:r>
      <w:r>
        <w:t xml:space="preserve">brene (a conjugated aromatic compound), </w:t>
      </w:r>
      <w:r w:rsidR="00FD017C">
        <w:t xml:space="preserve">absorbs light </w:t>
      </w:r>
      <w:r>
        <w:t xml:space="preserve">at a </w:t>
      </w:r>
      <w:r>
        <w:rPr>
          <w:lang w:val="el-GR"/>
        </w:rPr>
        <w:t xml:space="preserve">λ </w:t>
      </w:r>
      <w:r>
        <w:t xml:space="preserve">of </w:t>
      </w:r>
      <w:r w:rsidR="007624EB">
        <w:t xml:space="preserve">299nm and </w:t>
      </w:r>
      <w:r w:rsidR="00D35217" w:rsidRPr="007624EB">
        <w:t>460nm</w:t>
      </w:r>
      <w:r w:rsidR="007624EB">
        <w:t xml:space="preserve">; </w:t>
      </w:r>
      <w:r>
        <w:t xml:space="preserve">therefore, we would perceive it </w:t>
      </w:r>
      <w:r w:rsidR="00A44A46">
        <w:t>red</w:t>
      </w:r>
      <w:r>
        <w:t>.</w:t>
      </w:r>
      <w:r w:rsidR="00A44A46">
        <w:t xml:space="preserve"> The color was confirmed from the Sigma-Aldrich website since Rubrene is used for organic LED’s</w:t>
      </w:r>
      <w:r w:rsidR="007E4E01">
        <w:rPr>
          <w:vertAlign w:val="superscript"/>
        </w:rPr>
        <w:t>3</w:t>
      </w:r>
      <w:r w:rsidR="00A44A46">
        <w:t>.</w:t>
      </w:r>
      <w:r>
        <w:t xml:space="preserve"> </w:t>
      </w:r>
    </w:p>
    <w:p w14:paraId="682A7904" w14:textId="77777777" w:rsidR="00EC74E6" w:rsidRDefault="00EC74E6" w:rsidP="00A70916"/>
    <w:p w14:paraId="479A61BB" w14:textId="76AA314C" w:rsidR="009478FD" w:rsidRDefault="009478FD" w:rsidP="00A70916">
      <w:r>
        <w:t xml:space="preserve">Furthermore, quantitation of amounts of caffeine in coffee and vitamin B in a vitamin tablet can be achieved since caffeine and vitamin B have conjugated </w:t>
      </w:r>
      <w:r>
        <w:rPr>
          <w:lang w:val="el-GR"/>
        </w:rPr>
        <w:t>π</w:t>
      </w:r>
      <w:r>
        <w:t xml:space="preserve"> systems, therefore being able to be read in a spectrometer. </w:t>
      </w:r>
    </w:p>
    <w:p w14:paraId="7A32178F" w14:textId="77777777" w:rsidR="009478FD" w:rsidRPr="009478FD" w:rsidRDefault="009478FD" w:rsidP="00A70916"/>
    <w:p w14:paraId="61913ECA" w14:textId="114AB77A" w:rsidR="00A70916" w:rsidRDefault="001F5DCB" w:rsidP="00A70916">
      <w:pPr>
        <w:rPr>
          <w:b/>
        </w:rPr>
      </w:pPr>
      <w:r>
        <w:rPr>
          <w:b/>
        </w:rPr>
        <w:t>Conclusion</w:t>
      </w:r>
    </w:p>
    <w:p w14:paraId="1F4E1364" w14:textId="77777777" w:rsidR="001F5DCB" w:rsidRDefault="001F5DCB" w:rsidP="00A70916">
      <w:pPr>
        <w:rPr>
          <w:b/>
        </w:rPr>
      </w:pPr>
    </w:p>
    <w:p w14:paraId="61D4928F" w14:textId="4B7F6917" w:rsidR="00013113" w:rsidRPr="007E4E01" w:rsidRDefault="001F5DCB" w:rsidP="00A70916">
      <w:r>
        <w:t>Using Beer’s Law, I was able to get a better understanding of how UV-vis spectroscopy works.  What can be concluded from this laboratory session is how aromaticity plays a major role in the readout; if the compounds we were using were not aromatic, UV-vis spec wou</w:t>
      </w:r>
      <w:r w:rsidR="007E4E01">
        <w:t>ld not be the route to take.</w:t>
      </w:r>
      <w:r w:rsidR="00600133">
        <w:t xml:space="preserve">  Furthermore, through experimentation, I now understand how molecular structure relates to its absorption max and absorption peaks. </w:t>
      </w:r>
    </w:p>
    <w:p w14:paraId="3B46BF24" w14:textId="77777777" w:rsidR="00013113" w:rsidRDefault="00013113" w:rsidP="00A70916">
      <w:pPr>
        <w:rPr>
          <w:color w:val="FF0000"/>
        </w:rPr>
      </w:pPr>
    </w:p>
    <w:p w14:paraId="241F9E53" w14:textId="77777777" w:rsidR="00013113" w:rsidRDefault="00013113" w:rsidP="00A70916">
      <w:pPr>
        <w:rPr>
          <w:color w:val="FF0000"/>
        </w:rPr>
      </w:pPr>
    </w:p>
    <w:p w14:paraId="6C098C40" w14:textId="77777777" w:rsidR="00013113" w:rsidRDefault="00013113" w:rsidP="00A70916">
      <w:pPr>
        <w:rPr>
          <w:color w:val="FF0000"/>
        </w:rPr>
      </w:pPr>
    </w:p>
    <w:p w14:paraId="455652A2" w14:textId="77777777" w:rsidR="00013113" w:rsidRDefault="00013113" w:rsidP="00A70916">
      <w:pPr>
        <w:rPr>
          <w:color w:val="FF0000"/>
        </w:rPr>
      </w:pPr>
    </w:p>
    <w:p w14:paraId="40ED3E85" w14:textId="77777777" w:rsidR="00DA3A28" w:rsidRDefault="00DA3A28" w:rsidP="00A70916">
      <w:pPr>
        <w:rPr>
          <w:color w:val="FF0000"/>
        </w:rPr>
      </w:pPr>
      <w:bookmarkStart w:id="0" w:name="_GoBack"/>
      <w:bookmarkEnd w:id="0"/>
    </w:p>
    <w:p w14:paraId="5D6C6D4C" w14:textId="77777777" w:rsidR="00013113" w:rsidRDefault="00013113" w:rsidP="00A70916">
      <w:pPr>
        <w:rPr>
          <w:color w:val="FF0000"/>
        </w:rPr>
      </w:pPr>
    </w:p>
    <w:p w14:paraId="23A9D76D" w14:textId="13FD9360" w:rsidR="00013113" w:rsidRDefault="00013113" w:rsidP="00A70916">
      <w:pPr>
        <w:rPr>
          <w:color w:val="FF0000"/>
        </w:rPr>
      </w:pPr>
      <w:r>
        <w:rPr>
          <w:noProof/>
          <w:color w:val="FF0000"/>
        </w:rPr>
        <w:lastRenderedPageBreak/>
        <w:drawing>
          <wp:anchor distT="0" distB="0" distL="114300" distR="114300" simplePos="0" relativeHeight="251659264" behindDoc="0" locked="0" layoutInCell="1" allowOverlap="1" wp14:anchorId="2EFB8A90" wp14:editId="47B7BE49">
            <wp:simplePos x="0" y="0"/>
            <wp:positionH relativeFrom="column">
              <wp:posOffset>800100</wp:posOffset>
            </wp:positionH>
            <wp:positionV relativeFrom="paragraph">
              <wp:posOffset>0</wp:posOffset>
            </wp:positionV>
            <wp:extent cx="4572000" cy="25507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55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A29C5" w14:textId="77777777" w:rsidR="00013113" w:rsidRDefault="00013113" w:rsidP="00A70916">
      <w:pPr>
        <w:rPr>
          <w:color w:val="FF0000"/>
        </w:rPr>
      </w:pPr>
    </w:p>
    <w:p w14:paraId="11E134C0" w14:textId="77777777" w:rsidR="00013113" w:rsidRDefault="00013113" w:rsidP="00A70916">
      <w:pPr>
        <w:rPr>
          <w:color w:val="FF0000"/>
        </w:rPr>
      </w:pPr>
    </w:p>
    <w:p w14:paraId="07B1567C" w14:textId="77777777" w:rsidR="00013113" w:rsidRDefault="00013113" w:rsidP="00A70916">
      <w:pPr>
        <w:rPr>
          <w:color w:val="FF0000"/>
        </w:rPr>
      </w:pPr>
    </w:p>
    <w:p w14:paraId="394F9762" w14:textId="77777777" w:rsidR="00013113" w:rsidRDefault="00013113" w:rsidP="00A70916">
      <w:pPr>
        <w:rPr>
          <w:color w:val="FF0000"/>
        </w:rPr>
      </w:pPr>
    </w:p>
    <w:p w14:paraId="3D6F5741" w14:textId="77777777" w:rsidR="00013113" w:rsidRDefault="00013113" w:rsidP="00A70916">
      <w:pPr>
        <w:rPr>
          <w:color w:val="FF0000"/>
        </w:rPr>
      </w:pPr>
    </w:p>
    <w:p w14:paraId="73732B7B" w14:textId="77777777" w:rsidR="00013113" w:rsidRDefault="00013113" w:rsidP="00A70916">
      <w:pPr>
        <w:rPr>
          <w:color w:val="FF0000"/>
        </w:rPr>
      </w:pPr>
    </w:p>
    <w:p w14:paraId="245809D7" w14:textId="77777777" w:rsidR="00013113" w:rsidRDefault="00013113" w:rsidP="00A70916">
      <w:pPr>
        <w:rPr>
          <w:color w:val="FF0000"/>
        </w:rPr>
      </w:pPr>
    </w:p>
    <w:p w14:paraId="607E5632" w14:textId="77777777" w:rsidR="00013113" w:rsidRDefault="00013113" w:rsidP="00A70916">
      <w:pPr>
        <w:rPr>
          <w:color w:val="FF0000"/>
        </w:rPr>
      </w:pPr>
    </w:p>
    <w:p w14:paraId="69BD94E0" w14:textId="77777777" w:rsidR="00013113" w:rsidRDefault="00013113" w:rsidP="00A70916">
      <w:pPr>
        <w:rPr>
          <w:color w:val="FF0000"/>
        </w:rPr>
      </w:pPr>
    </w:p>
    <w:p w14:paraId="290557FA" w14:textId="77777777" w:rsidR="00013113" w:rsidRDefault="00013113" w:rsidP="00A70916">
      <w:pPr>
        <w:rPr>
          <w:color w:val="FF0000"/>
        </w:rPr>
      </w:pPr>
    </w:p>
    <w:p w14:paraId="4D0CDC4C" w14:textId="77777777" w:rsidR="00013113" w:rsidRPr="00100F19" w:rsidRDefault="00013113" w:rsidP="00A70916">
      <w:pPr>
        <w:rPr>
          <w:color w:val="FF0000"/>
        </w:rPr>
      </w:pPr>
    </w:p>
    <w:p w14:paraId="6B8D2843" w14:textId="77777777" w:rsidR="001F5DCB" w:rsidRDefault="001F5DCB" w:rsidP="00A70916">
      <w:pPr>
        <w:rPr>
          <w:b/>
        </w:rPr>
      </w:pPr>
    </w:p>
    <w:p w14:paraId="020B7A5C" w14:textId="77777777" w:rsidR="00013113" w:rsidRDefault="00013113" w:rsidP="00A70916">
      <w:pPr>
        <w:rPr>
          <w:b/>
        </w:rPr>
      </w:pPr>
    </w:p>
    <w:p w14:paraId="720E4B43" w14:textId="77777777" w:rsidR="00013113" w:rsidRDefault="00013113" w:rsidP="00013113">
      <w:pPr>
        <w:jc w:val="center"/>
        <w:rPr>
          <w:b/>
        </w:rPr>
      </w:pPr>
    </w:p>
    <w:p w14:paraId="5DDFF5AC" w14:textId="2DB2815F" w:rsidR="001F5DCB" w:rsidRPr="00013113" w:rsidRDefault="00013113" w:rsidP="00013113">
      <w:pPr>
        <w:jc w:val="center"/>
      </w:pPr>
      <w:r w:rsidRPr="00013113">
        <w:rPr>
          <w:b/>
        </w:rPr>
        <w:t>Figure 1.</w:t>
      </w:r>
      <w:r>
        <w:t xml:space="preserve"> Compounds used in this study.</w:t>
      </w:r>
    </w:p>
    <w:p w14:paraId="052BD8A4" w14:textId="77777777" w:rsidR="00535389" w:rsidRDefault="00535389" w:rsidP="00A70916">
      <w:pPr>
        <w:rPr>
          <w:b/>
        </w:rPr>
      </w:pPr>
    </w:p>
    <w:p w14:paraId="7E22C5DE" w14:textId="0AA388FF" w:rsidR="00535389" w:rsidRDefault="00535389" w:rsidP="00535389">
      <w:pPr>
        <w:jc w:val="center"/>
        <w:rPr>
          <w:b/>
        </w:rPr>
      </w:pPr>
      <w:r>
        <w:rPr>
          <w:b/>
          <w:noProof/>
        </w:rPr>
        <w:drawing>
          <wp:inline distT="0" distB="0" distL="0" distR="0" wp14:anchorId="3ECB4932" wp14:editId="69BA3609">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graph Part I.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9AE42E7" w14:textId="1A3B9F69" w:rsidR="0012624D" w:rsidRPr="00013113" w:rsidRDefault="00013113" w:rsidP="00013113">
      <w:pPr>
        <w:jc w:val="center"/>
      </w:pPr>
      <w:r>
        <w:rPr>
          <w:b/>
        </w:rPr>
        <w:t>Figure 2</w:t>
      </w:r>
      <w:r w:rsidR="00535389">
        <w:rPr>
          <w:b/>
        </w:rPr>
        <w:t xml:space="preserve">. </w:t>
      </w:r>
      <w:r w:rsidR="009C0FA9">
        <w:t xml:space="preserve"> Spectra</w:t>
      </w:r>
      <w:r w:rsidR="00535389">
        <w:t xml:space="preserve"> of aromatic compounds</w:t>
      </w:r>
      <w:r w:rsidR="005B67A7">
        <w:t xml:space="preserve"> used in this study</w:t>
      </w:r>
      <w:r w:rsidR="00535389">
        <w:t xml:space="preserve">. Anthracene is </w:t>
      </w:r>
      <w:r w:rsidR="00417E42">
        <w:t>Olive</w:t>
      </w:r>
      <w:r w:rsidR="00535389">
        <w:t xml:space="preserve"> Green</w:t>
      </w:r>
      <w:r w:rsidR="00071990">
        <w:t>, Naphthalene is Red, Benzene is Black, 1,2-Benzathracene is Blue,</w:t>
      </w:r>
      <w:r w:rsidR="00535389">
        <w:t xml:space="preserve"> and Dibenzothiophene is Green.</w:t>
      </w:r>
    </w:p>
    <w:p w14:paraId="58611155" w14:textId="77777777" w:rsidR="0012624D" w:rsidRDefault="0012624D" w:rsidP="00013113">
      <w:pPr>
        <w:rPr>
          <w:lang w:val="el-GR"/>
        </w:rPr>
      </w:pPr>
    </w:p>
    <w:p w14:paraId="1EE2D94D" w14:textId="77777777" w:rsidR="0012624D" w:rsidRDefault="0012624D" w:rsidP="00535389">
      <w:pPr>
        <w:jc w:val="center"/>
        <w:rPr>
          <w:lang w:val="el-GR"/>
        </w:rPr>
      </w:pPr>
    </w:p>
    <w:p w14:paraId="7FB71644" w14:textId="5E286E23" w:rsidR="0012624D" w:rsidRDefault="003333AB" w:rsidP="00535389">
      <w:pPr>
        <w:jc w:val="center"/>
        <w:rPr>
          <w:lang w:val="el-GR"/>
        </w:rPr>
      </w:pPr>
      <w:r>
        <w:rPr>
          <w:lang w:val="el-GR"/>
        </w:rPr>
        <w:object w:dxaOrig="9159" w:dyaOrig="5799" w14:anchorId="50161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4pt;height:290.4pt" o:ole="">
            <v:imagedata r:id="rId10" o:title=""/>
          </v:shape>
          <o:OLEObject Type="Embed" ProgID="Excel.Sheet.12" ShapeID="_x0000_i1025" DrawAspect="Content" ObjectID="_1366723488" r:id="rId11"/>
        </w:object>
      </w:r>
    </w:p>
    <w:p w14:paraId="79B4C9B2" w14:textId="20CA0085" w:rsidR="003333AB" w:rsidRPr="003333AB" w:rsidRDefault="003333AB" w:rsidP="00535389">
      <w:pPr>
        <w:jc w:val="center"/>
        <w:rPr>
          <w:lang w:val="el-GR"/>
        </w:rPr>
      </w:pPr>
      <w:r>
        <w:rPr>
          <w:b/>
          <w:lang w:val="el-GR"/>
        </w:rPr>
        <w:t xml:space="preserve">Figure 3. </w:t>
      </w:r>
      <w:r>
        <w:rPr>
          <w:lang w:val="el-GR"/>
        </w:rPr>
        <w:t>Beer’s Law Calibration Plot of Dibenzothiophene.</w:t>
      </w:r>
    </w:p>
    <w:p w14:paraId="2D02E2F9" w14:textId="3009C8F6" w:rsidR="0012624D" w:rsidRDefault="0012624D" w:rsidP="003333AB">
      <w:pPr>
        <w:rPr>
          <w:lang w:val="el-GR"/>
        </w:rPr>
      </w:pPr>
    </w:p>
    <w:p w14:paraId="720E70DB" w14:textId="77777777" w:rsidR="001F5DCB" w:rsidRDefault="001F5DCB" w:rsidP="003333AB">
      <w:pPr>
        <w:rPr>
          <w:lang w:val="el-GR"/>
        </w:rPr>
      </w:pPr>
    </w:p>
    <w:p w14:paraId="2F0C6E48" w14:textId="77777777" w:rsidR="001F5DCB" w:rsidRDefault="001F5DCB" w:rsidP="003333AB">
      <w:pPr>
        <w:rPr>
          <w:lang w:val="el-GR"/>
        </w:rPr>
      </w:pPr>
    </w:p>
    <w:p w14:paraId="37A12A1C" w14:textId="77777777" w:rsidR="0012624D" w:rsidRDefault="0012624D" w:rsidP="00535389">
      <w:pPr>
        <w:jc w:val="center"/>
        <w:rPr>
          <w:lang w:val="el-GR"/>
        </w:rPr>
      </w:pPr>
    </w:p>
    <w:p w14:paraId="5E6B99CD" w14:textId="4806DD6E" w:rsidR="0012624D" w:rsidRDefault="001F5DCB" w:rsidP="00535389">
      <w:pPr>
        <w:jc w:val="center"/>
        <w:rPr>
          <w:lang w:val="el-GR"/>
        </w:rPr>
      </w:pPr>
      <w:r>
        <w:rPr>
          <w:noProof/>
        </w:rPr>
        <w:drawing>
          <wp:inline distT="0" distB="0" distL="0" distR="0" wp14:anchorId="4A699822" wp14:editId="6277C48F">
            <wp:extent cx="2286000" cy="1155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30 at 2.25.30 PM.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1155700"/>
                    </a:xfrm>
                    <a:prstGeom prst="rect">
                      <a:avLst/>
                    </a:prstGeom>
                  </pic:spPr>
                </pic:pic>
              </a:graphicData>
            </a:graphic>
          </wp:inline>
        </w:drawing>
      </w:r>
    </w:p>
    <w:p w14:paraId="3CD94EE9" w14:textId="0B5F53AD" w:rsidR="001F5DCB" w:rsidRPr="00CD6A62" w:rsidRDefault="0012624D" w:rsidP="00535389">
      <w:pPr>
        <w:jc w:val="center"/>
        <w:rPr>
          <w:color w:val="FF0000"/>
        </w:rPr>
      </w:pPr>
      <w:r>
        <w:rPr>
          <w:b/>
        </w:rPr>
        <w:t xml:space="preserve">Table 1. </w:t>
      </w:r>
      <w:r>
        <w:t>Using Beer’s Law to calculate concentration of Dibenzothiophene.</w:t>
      </w:r>
    </w:p>
    <w:p w14:paraId="31A739B6" w14:textId="77777777" w:rsidR="001F5DCB" w:rsidRDefault="001F5DCB">
      <w:r>
        <w:br w:type="page"/>
      </w:r>
    </w:p>
    <w:p w14:paraId="5408D8BA" w14:textId="62D42E4C" w:rsidR="0012624D" w:rsidRDefault="001F5DCB" w:rsidP="00535389">
      <w:pPr>
        <w:jc w:val="center"/>
      </w:pPr>
      <w:r>
        <w:lastRenderedPageBreak/>
        <w:t>Works Cited</w:t>
      </w:r>
    </w:p>
    <w:p w14:paraId="775DC179" w14:textId="77777777" w:rsidR="001F5DCB" w:rsidRDefault="001F5DCB" w:rsidP="00535389">
      <w:pPr>
        <w:jc w:val="center"/>
      </w:pPr>
    </w:p>
    <w:p w14:paraId="79CEFEDF" w14:textId="21159E47" w:rsidR="006C02A3" w:rsidRDefault="006C02A3" w:rsidP="006C02A3">
      <w:pPr>
        <w:pStyle w:val="ListParagraph"/>
        <w:tabs>
          <w:tab w:val="left" w:pos="270"/>
        </w:tabs>
        <w:ind w:hanging="720"/>
      </w:pPr>
      <w:r>
        <w:t xml:space="preserve">1. </w:t>
      </w:r>
      <w:r w:rsidRPr="00D23681">
        <w:t xml:space="preserve">Skoog, D.A.; Holler, J.F.; Crouch, S.R.; </w:t>
      </w:r>
      <w:r w:rsidRPr="00D23681">
        <w:rPr>
          <w:u w:val="single"/>
        </w:rPr>
        <w:t>Principles of Instrumental Analysis</w:t>
      </w:r>
      <w:r w:rsidRPr="00D23681">
        <w:t>. Cengage Learning.</w:t>
      </w:r>
      <w:r w:rsidRPr="00D23681">
        <w:rPr>
          <w:color w:val="FF0000"/>
        </w:rPr>
        <w:t xml:space="preserve"> </w:t>
      </w:r>
      <w:r w:rsidRPr="00D23681">
        <w:rPr>
          <w:b/>
        </w:rPr>
        <w:t>2006</w:t>
      </w:r>
      <w:r w:rsidRPr="00D23681">
        <w:t>.</w:t>
      </w:r>
    </w:p>
    <w:p w14:paraId="6F17E365" w14:textId="4951ED44" w:rsidR="007E4E01" w:rsidRDefault="006C02A3" w:rsidP="00D35217">
      <w:pPr>
        <w:pStyle w:val="ListParagraph"/>
        <w:tabs>
          <w:tab w:val="left" w:pos="270"/>
        </w:tabs>
        <w:ind w:hanging="720"/>
      </w:pPr>
      <w:r>
        <w:t>2.</w:t>
      </w:r>
      <w:r w:rsidR="007E4E01">
        <w:t xml:space="preserve"> Lambert, J.B.; Shuvell, H.F.; Lightner, D.; Graham, R.; </w:t>
      </w:r>
      <w:r w:rsidR="007E4E01" w:rsidRPr="007E4E01">
        <w:rPr>
          <w:u w:val="single"/>
        </w:rPr>
        <w:t>Introduction to Organic Spectroscopy</w:t>
      </w:r>
      <w:r w:rsidR="007E4E01">
        <w:t xml:space="preserve">. Macmillon: New York. </w:t>
      </w:r>
      <w:r w:rsidR="007E4E01">
        <w:rPr>
          <w:b/>
        </w:rPr>
        <w:t>1987.</w:t>
      </w:r>
      <w:r>
        <w:t xml:space="preserve"> </w:t>
      </w:r>
    </w:p>
    <w:p w14:paraId="689FF35E" w14:textId="670837B2" w:rsidR="00E07E33" w:rsidRPr="0012624D" w:rsidRDefault="007E4E01" w:rsidP="00D35217">
      <w:pPr>
        <w:pStyle w:val="ListParagraph"/>
        <w:tabs>
          <w:tab w:val="left" w:pos="270"/>
        </w:tabs>
        <w:ind w:hanging="720"/>
      </w:pPr>
      <w:r>
        <w:t xml:space="preserve">3. </w:t>
      </w:r>
      <w:r w:rsidR="006C02A3">
        <w:t>Rubrene. Sigma-</w:t>
      </w:r>
      <w:r w:rsidR="00E07E33">
        <w:t xml:space="preserve">Aldrich. </w:t>
      </w:r>
      <w:r w:rsidR="00E07E33" w:rsidRPr="00E07E33">
        <w:t>http://www.sigmaaldrich.com/catalog/product/aldrich/554073?lang=en&amp;region=US</w:t>
      </w:r>
      <w:r w:rsidR="00E07E33">
        <w:t xml:space="preserve"> (Accessed April 30, 2015).</w:t>
      </w:r>
    </w:p>
    <w:sectPr w:rsidR="00E07E33" w:rsidRPr="0012624D" w:rsidSect="00823A4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71F8E" w14:textId="77777777" w:rsidR="00DA3A28" w:rsidRDefault="00DA3A28" w:rsidP="001F5DCB">
      <w:r>
        <w:separator/>
      </w:r>
    </w:p>
  </w:endnote>
  <w:endnote w:type="continuationSeparator" w:id="0">
    <w:p w14:paraId="4D029937" w14:textId="77777777" w:rsidR="00DA3A28" w:rsidRDefault="00DA3A28" w:rsidP="001F5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262B9" w14:textId="2E9CEEDD" w:rsidR="00DA3A28" w:rsidRDefault="00DA3A28" w:rsidP="001F5DCB">
    <w:pPr>
      <w:pStyle w:val="Footer"/>
      <w:jc w:val="center"/>
    </w:pPr>
    <w:r>
      <w:rPr>
        <w:rStyle w:val="PageNumber"/>
      </w:rPr>
      <w:fldChar w:fldCharType="begin"/>
    </w:r>
    <w:r>
      <w:rPr>
        <w:rStyle w:val="PageNumber"/>
      </w:rPr>
      <w:instrText xml:space="preserve"> PAGE </w:instrText>
    </w:r>
    <w:r>
      <w:rPr>
        <w:rStyle w:val="PageNumber"/>
      </w:rPr>
      <w:fldChar w:fldCharType="separate"/>
    </w:r>
    <w:r w:rsidR="00B05EC3">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B5D4B" w14:textId="77777777" w:rsidR="00DA3A28" w:rsidRDefault="00DA3A28" w:rsidP="001F5DCB">
      <w:r>
        <w:separator/>
      </w:r>
    </w:p>
  </w:footnote>
  <w:footnote w:type="continuationSeparator" w:id="0">
    <w:p w14:paraId="354CB299" w14:textId="77777777" w:rsidR="00DA3A28" w:rsidRDefault="00DA3A28" w:rsidP="001F5DC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7F4FDA"/>
    <w:multiLevelType w:val="hybridMultilevel"/>
    <w:tmpl w:val="E4E00FF0"/>
    <w:lvl w:ilvl="0" w:tplc="B61259EC">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916"/>
    <w:rsid w:val="00000E4E"/>
    <w:rsid w:val="00013113"/>
    <w:rsid w:val="000568F1"/>
    <w:rsid w:val="000600AA"/>
    <w:rsid w:val="00071990"/>
    <w:rsid w:val="00100F19"/>
    <w:rsid w:val="0012624D"/>
    <w:rsid w:val="001D58B1"/>
    <w:rsid w:val="001F5DCB"/>
    <w:rsid w:val="00277EA9"/>
    <w:rsid w:val="003333AB"/>
    <w:rsid w:val="003C7402"/>
    <w:rsid w:val="003D44C2"/>
    <w:rsid w:val="00417E42"/>
    <w:rsid w:val="00463AC8"/>
    <w:rsid w:val="004D35A5"/>
    <w:rsid w:val="0052283E"/>
    <w:rsid w:val="00535389"/>
    <w:rsid w:val="00562BA4"/>
    <w:rsid w:val="005B67A7"/>
    <w:rsid w:val="00600133"/>
    <w:rsid w:val="006C02A3"/>
    <w:rsid w:val="006E332C"/>
    <w:rsid w:val="00754C16"/>
    <w:rsid w:val="007624EB"/>
    <w:rsid w:val="007E4E01"/>
    <w:rsid w:val="00823A48"/>
    <w:rsid w:val="008B5FFE"/>
    <w:rsid w:val="00941545"/>
    <w:rsid w:val="009478FD"/>
    <w:rsid w:val="009A0B8D"/>
    <w:rsid w:val="009C0FA9"/>
    <w:rsid w:val="009F028B"/>
    <w:rsid w:val="00A44A46"/>
    <w:rsid w:val="00A52DC3"/>
    <w:rsid w:val="00A70916"/>
    <w:rsid w:val="00AA0E94"/>
    <w:rsid w:val="00B05EC3"/>
    <w:rsid w:val="00BB74CF"/>
    <w:rsid w:val="00BD7190"/>
    <w:rsid w:val="00CD6A62"/>
    <w:rsid w:val="00D35217"/>
    <w:rsid w:val="00D56788"/>
    <w:rsid w:val="00DA3A28"/>
    <w:rsid w:val="00DC59B9"/>
    <w:rsid w:val="00E07E33"/>
    <w:rsid w:val="00E876BD"/>
    <w:rsid w:val="00EC74E6"/>
    <w:rsid w:val="00F60F35"/>
    <w:rsid w:val="00FB6A46"/>
    <w:rsid w:val="00FD01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C278E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389"/>
    <w:rPr>
      <w:rFonts w:ascii="Lucida Grande" w:hAnsi="Lucida Grande"/>
      <w:sz w:val="18"/>
      <w:szCs w:val="18"/>
    </w:rPr>
  </w:style>
  <w:style w:type="character" w:customStyle="1" w:styleId="BalloonTextChar">
    <w:name w:val="Balloon Text Char"/>
    <w:basedOn w:val="DefaultParagraphFont"/>
    <w:link w:val="BalloonText"/>
    <w:uiPriority w:val="99"/>
    <w:semiHidden/>
    <w:rsid w:val="00535389"/>
    <w:rPr>
      <w:rFonts w:ascii="Lucida Grande" w:hAnsi="Lucida Grande"/>
      <w:sz w:val="18"/>
      <w:szCs w:val="18"/>
    </w:rPr>
  </w:style>
  <w:style w:type="paragraph" w:styleId="Header">
    <w:name w:val="header"/>
    <w:basedOn w:val="Normal"/>
    <w:link w:val="HeaderChar"/>
    <w:uiPriority w:val="99"/>
    <w:unhideWhenUsed/>
    <w:rsid w:val="001F5DCB"/>
    <w:pPr>
      <w:tabs>
        <w:tab w:val="center" w:pos="4320"/>
        <w:tab w:val="right" w:pos="8640"/>
      </w:tabs>
    </w:pPr>
  </w:style>
  <w:style w:type="character" w:customStyle="1" w:styleId="HeaderChar">
    <w:name w:val="Header Char"/>
    <w:basedOn w:val="DefaultParagraphFont"/>
    <w:link w:val="Header"/>
    <w:uiPriority w:val="99"/>
    <w:rsid w:val="001F5DCB"/>
  </w:style>
  <w:style w:type="paragraph" w:styleId="Footer">
    <w:name w:val="footer"/>
    <w:basedOn w:val="Normal"/>
    <w:link w:val="FooterChar"/>
    <w:uiPriority w:val="99"/>
    <w:unhideWhenUsed/>
    <w:rsid w:val="001F5DCB"/>
    <w:pPr>
      <w:tabs>
        <w:tab w:val="center" w:pos="4320"/>
        <w:tab w:val="right" w:pos="8640"/>
      </w:tabs>
    </w:pPr>
  </w:style>
  <w:style w:type="character" w:customStyle="1" w:styleId="FooterChar">
    <w:name w:val="Footer Char"/>
    <w:basedOn w:val="DefaultParagraphFont"/>
    <w:link w:val="Footer"/>
    <w:uiPriority w:val="99"/>
    <w:rsid w:val="001F5DCB"/>
  </w:style>
  <w:style w:type="character" w:styleId="PageNumber">
    <w:name w:val="page number"/>
    <w:basedOn w:val="DefaultParagraphFont"/>
    <w:uiPriority w:val="99"/>
    <w:semiHidden/>
    <w:unhideWhenUsed/>
    <w:rsid w:val="001F5DCB"/>
  </w:style>
  <w:style w:type="character" w:styleId="Hyperlink">
    <w:name w:val="Hyperlink"/>
    <w:basedOn w:val="DefaultParagraphFont"/>
    <w:uiPriority w:val="99"/>
    <w:unhideWhenUsed/>
    <w:rsid w:val="00E07E33"/>
    <w:rPr>
      <w:color w:val="0000FF" w:themeColor="hyperlink"/>
      <w:u w:val="single"/>
    </w:rPr>
  </w:style>
  <w:style w:type="paragraph" w:styleId="ListParagraph">
    <w:name w:val="List Paragraph"/>
    <w:basedOn w:val="Normal"/>
    <w:uiPriority w:val="34"/>
    <w:qFormat/>
    <w:rsid w:val="00E07E33"/>
    <w:pPr>
      <w:ind w:left="720"/>
      <w:contextualSpacing/>
    </w:pPr>
  </w:style>
  <w:style w:type="character" w:styleId="FollowedHyperlink">
    <w:name w:val="FollowedHyperlink"/>
    <w:basedOn w:val="DefaultParagraphFont"/>
    <w:uiPriority w:val="99"/>
    <w:semiHidden/>
    <w:unhideWhenUsed/>
    <w:rsid w:val="00E07E3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389"/>
    <w:rPr>
      <w:rFonts w:ascii="Lucida Grande" w:hAnsi="Lucida Grande"/>
      <w:sz w:val="18"/>
      <w:szCs w:val="18"/>
    </w:rPr>
  </w:style>
  <w:style w:type="character" w:customStyle="1" w:styleId="BalloonTextChar">
    <w:name w:val="Balloon Text Char"/>
    <w:basedOn w:val="DefaultParagraphFont"/>
    <w:link w:val="BalloonText"/>
    <w:uiPriority w:val="99"/>
    <w:semiHidden/>
    <w:rsid w:val="00535389"/>
    <w:rPr>
      <w:rFonts w:ascii="Lucida Grande" w:hAnsi="Lucida Grande"/>
      <w:sz w:val="18"/>
      <w:szCs w:val="18"/>
    </w:rPr>
  </w:style>
  <w:style w:type="paragraph" w:styleId="Header">
    <w:name w:val="header"/>
    <w:basedOn w:val="Normal"/>
    <w:link w:val="HeaderChar"/>
    <w:uiPriority w:val="99"/>
    <w:unhideWhenUsed/>
    <w:rsid w:val="001F5DCB"/>
    <w:pPr>
      <w:tabs>
        <w:tab w:val="center" w:pos="4320"/>
        <w:tab w:val="right" w:pos="8640"/>
      </w:tabs>
    </w:pPr>
  </w:style>
  <w:style w:type="character" w:customStyle="1" w:styleId="HeaderChar">
    <w:name w:val="Header Char"/>
    <w:basedOn w:val="DefaultParagraphFont"/>
    <w:link w:val="Header"/>
    <w:uiPriority w:val="99"/>
    <w:rsid w:val="001F5DCB"/>
  </w:style>
  <w:style w:type="paragraph" w:styleId="Footer">
    <w:name w:val="footer"/>
    <w:basedOn w:val="Normal"/>
    <w:link w:val="FooterChar"/>
    <w:uiPriority w:val="99"/>
    <w:unhideWhenUsed/>
    <w:rsid w:val="001F5DCB"/>
    <w:pPr>
      <w:tabs>
        <w:tab w:val="center" w:pos="4320"/>
        <w:tab w:val="right" w:pos="8640"/>
      </w:tabs>
    </w:pPr>
  </w:style>
  <w:style w:type="character" w:customStyle="1" w:styleId="FooterChar">
    <w:name w:val="Footer Char"/>
    <w:basedOn w:val="DefaultParagraphFont"/>
    <w:link w:val="Footer"/>
    <w:uiPriority w:val="99"/>
    <w:rsid w:val="001F5DCB"/>
  </w:style>
  <w:style w:type="character" w:styleId="PageNumber">
    <w:name w:val="page number"/>
    <w:basedOn w:val="DefaultParagraphFont"/>
    <w:uiPriority w:val="99"/>
    <w:semiHidden/>
    <w:unhideWhenUsed/>
    <w:rsid w:val="001F5DCB"/>
  </w:style>
  <w:style w:type="character" w:styleId="Hyperlink">
    <w:name w:val="Hyperlink"/>
    <w:basedOn w:val="DefaultParagraphFont"/>
    <w:uiPriority w:val="99"/>
    <w:unhideWhenUsed/>
    <w:rsid w:val="00E07E33"/>
    <w:rPr>
      <w:color w:val="0000FF" w:themeColor="hyperlink"/>
      <w:u w:val="single"/>
    </w:rPr>
  </w:style>
  <w:style w:type="paragraph" w:styleId="ListParagraph">
    <w:name w:val="List Paragraph"/>
    <w:basedOn w:val="Normal"/>
    <w:uiPriority w:val="34"/>
    <w:qFormat/>
    <w:rsid w:val="00E07E33"/>
    <w:pPr>
      <w:ind w:left="720"/>
      <w:contextualSpacing/>
    </w:pPr>
  </w:style>
  <w:style w:type="character" w:styleId="FollowedHyperlink">
    <w:name w:val="FollowedHyperlink"/>
    <w:basedOn w:val="DefaultParagraphFont"/>
    <w:uiPriority w:val="99"/>
    <w:semiHidden/>
    <w:unhideWhenUsed/>
    <w:rsid w:val="00E07E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968326">
      <w:bodyDiv w:val="1"/>
      <w:marLeft w:val="0"/>
      <w:marRight w:val="0"/>
      <w:marTop w:val="0"/>
      <w:marBottom w:val="0"/>
      <w:divBdr>
        <w:top w:val="none" w:sz="0" w:space="0" w:color="auto"/>
        <w:left w:val="none" w:sz="0" w:space="0" w:color="auto"/>
        <w:bottom w:val="none" w:sz="0" w:space="0" w:color="auto"/>
        <w:right w:val="none" w:sz="0" w:space="0" w:color="auto"/>
      </w:divBdr>
    </w:div>
    <w:div w:id="997074905">
      <w:bodyDiv w:val="1"/>
      <w:marLeft w:val="0"/>
      <w:marRight w:val="0"/>
      <w:marTop w:val="0"/>
      <w:marBottom w:val="0"/>
      <w:divBdr>
        <w:top w:val="none" w:sz="0" w:space="0" w:color="auto"/>
        <w:left w:val="none" w:sz="0" w:space="0" w:color="auto"/>
        <w:bottom w:val="none" w:sz="0" w:space="0" w:color="auto"/>
        <w:right w:val="none" w:sz="0" w:space="0" w:color="auto"/>
      </w:divBdr>
    </w:div>
    <w:div w:id="16727516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ackage" Target="embeddings/Microsoft_Excel_Sheet1.xlsx"/><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1019</Words>
  <Characters>5811</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dc:creator>
  <cp:keywords/>
  <dc:description/>
  <cp:lastModifiedBy>Rich</cp:lastModifiedBy>
  <cp:revision>4</cp:revision>
  <dcterms:created xsi:type="dcterms:W3CDTF">2015-05-11T21:21:00Z</dcterms:created>
  <dcterms:modified xsi:type="dcterms:W3CDTF">2015-05-11T21:38:00Z</dcterms:modified>
</cp:coreProperties>
</file>