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668BD" w14:textId="77777777" w:rsidR="003500AF" w:rsidRPr="00BB6251" w:rsidRDefault="003500AF" w:rsidP="008A223F">
      <w:pPr>
        <w:pStyle w:val="BATitle"/>
      </w:pPr>
      <w:r w:rsidRPr="00BB6251">
        <w:t xml:space="preserve">Mechanistic Studies and Synthetic Applications of the </w:t>
      </w:r>
      <w:r w:rsidR="00614054">
        <w:t>Robinson Annulation</w:t>
      </w:r>
    </w:p>
    <w:p w14:paraId="3C5CFB78" w14:textId="59DA67EA" w:rsidR="003500AF" w:rsidRPr="00BB6251" w:rsidRDefault="00614054" w:rsidP="008A223F">
      <w:pPr>
        <w:pStyle w:val="BBAuthorName"/>
      </w:pPr>
      <w:r>
        <w:t>Richard S. Welter</w:t>
      </w:r>
    </w:p>
    <w:p w14:paraId="5627F825" w14:textId="77777777" w:rsidR="003500AF" w:rsidRPr="00BB6251" w:rsidRDefault="003500AF" w:rsidP="002D6D15">
      <w:pPr>
        <w:pStyle w:val="BCAuthorAddress"/>
      </w:pPr>
      <w:r w:rsidRPr="00BB6251">
        <w:t xml:space="preserve">Department of Chemistry, </w:t>
      </w:r>
      <w:r w:rsidR="00614054">
        <w:t>Bethany College</w:t>
      </w:r>
    </w:p>
    <w:p w14:paraId="56677D34" w14:textId="77777777" w:rsidR="003500AF" w:rsidRPr="00BB6251" w:rsidRDefault="00614054" w:rsidP="002D6D15">
      <w:pPr>
        <w:pStyle w:val="BCAuthorAddress"/>
      </w:pPr>
      <w:r>
        <w:t>welte</w:t>
      </w:r>
      <w:r w:rsidR="00881EE1">
        <w:t>r</w:t>
      </w:r>
      <w:r>
        <w:t>r@bethanylb.e</w:t>
      </w:r>
      <w:r w:rsidR="003500AF" w:rsidRPr="00614054">
        <w:t>d</w:t>
      </w:r>
      <w:r>
        <w:t>u</w:t>
      </w:r>
    </w:p>
    <w:p w14:paraId="5B3B24F5" w14:textId="77777777" w:rsidR="003500AF" w:rsidRPr="00BB6251" w:rsidRDefault="00614054" w:rsidP="002D6D15">
      <w:pPr>
        <w:pStyle w:val="BCAuthorAddress"/>
      </w:pPr>
      <w:r>
        <w:t>February 15, 2015</w:t>
      </w:r>
    </w:p>
    <w:p w14:paraId="0705A885" w14:textId="77777777" w:rsidR="003500AF" w:rsidRPr="00BB6251" w:rsidRDefault="003500AF" w:rsidP="00D05734">
      <w:pPr>
        <w:spacing w:after="0"/>
        <w:jc w:val="both"/>
        <w:rPr>
          <w:rFonts w:ascii="Times New Roman" w:hAnsi="Times New Roman"/>
          <w:b/>
          <w:sz w:val="19"/>
          <w:szCs w:val="19"/>
        </w:rPr>
      </w:pPr>
      <w:r w:rsidRPr="00BB6251">
        <w:rPr>
          <w:rFonts w:ascii="Times New Roman" w:hAnsi="Times New Roman"/>
        </w:rPr>
        <w:t xml:space="preserve"> </w:t>
      </w:r>
    </w:p>
    <w:p w14:paraId="7F1E9DCD" w14:textId="55D73372" w:rsidR="003500AF" w:rsidRPr="00BB6251" w:rsidRDefault="005D6A7F" w:rsidP="00D05734">
      <w:pPr>
        <w:pStyle w:val="BDAbstract"/>
        <w:ind w:firstLine="720"/>
      </w:pPr>
      <w:r>
        <w:t xml:space="preserve">Robinson Annulation has been </w:t>
      </w:r>
      <w:r w:rsidR="000F6020">
        <w:t xml:space="preserve">an important synthetic protocol to create fused cyclic ring compounds. Such cyclic ring compounds and their derivatives have been applied in many health-related fields, producing promising discoveries. </w:t>
      </w:r>
      <w:r w:rsidR="003500AF" w:rsidRPr="00BB6251">
        <w:t xml:space="preserve">Investigations into the </w:t>
      </w:r>
      <w:r w:rsidR="003500AF">
        <w:t xml:space="preserve">actual </w:t>
      </w:r>
      <w:r w:rsidR="003500AF" w:rsidRPr="00BB6251">
        <w:t>pathway</w:t>
      </w:r>
      <w:r w:rsidR="003500AF">
        <w:t xml:space="preserve">, </w:t>
      </w:r>
      <w:r w:rsidR="003500AF" w:rsidRPr="00BB6251">
        <w:t xml:space="preserve">as well as applications of this </w:t>
      </w:r>
      <w:r>
        <w:t xml:space="preserve">ring formation </w:t>
      </w:r>
      <w:r w:rsidR="003500AF" w:rsidRPr="00BB6251">
        <w:t>process are discussed in this review.</w:t>
      </w:r>
    </w:p>
    <w:p w14:paraId="5498B71C" w14:textId="71E2CADD" w:rsidR="003500AF" w:rsidRPr="00BB6251" w:rsidRDefault="003500AF" w:rsidP="00D05734">
      <w:pPr>
        <w:spacing w:after="0"/>
        <w:jc w:val="both"/>
        <w:rPr>
          <w:rFonts w:ascii="Times New Roman" w:hAnsi="Times New Roman"/>
          <w:b/>
          <w:sz w:val="19"/>
          <w:szCs w:val="19"/>
        </w:rPr>
      </w:pPr>
    </w:p>
    <w:p w14:paraId="01B58DE9" w14:textId="6D8D2E84" w:rsidR="003500AF" w:rsidRPr="000B65C0" w:rsidRDefault="003500AF" w:rsidP="00D05734">
      <w:pPr>
        <w:pStyle w:val="sectionheading"/>
        <w:jc w:val="both"/>
      </w:pPr>
      <w:r w:rsidRPr="000B65C0">
        <w:t>Introduction</w:t>
      </w:r>
    </w:p>
    <w:p w14:paraId="22186215" w14:textId="2B3AAE19" w:rsidR="00277897" w:rsidRDefault="00C12A05" w:rsidP="00D05734">
      <w:pPr>
        <w:pStyle w:val="TAMainText"/>
      </w:pPr>
      <w:r>
        <w:t>The Robinson Annulation reaction has been applied and used in numerous significant applications since its discovery in 1935</w:t>
      </w:r>
      <w:r w:rsidR="00FF4CC9">
        <w:t xml:space="preserve"> by William Sage Rapson</w:t>
      </w:r>
      <w:r w:rsidR="00217BBF" w:rsidRPr="00217BBF">
        <w:t xml:space="preserve"> </w:t>
      </w:r>
      <w:r w:rsidR="00217BBF">
        <w:t>and Sir Robert Robinson</w:t>
      </w:r>
      <w:r w:rsidR="00FF4CC9">
        <w:t>.</w:t>
      </w:r>
      <w:r w:rsidR="00793BFB">
        <w:rPr>
          <w:vertAlign w:val="superscript"/>
        </w:rPr>
        <w:t>1</w:t>
      </w:r>
      <w:r w:rsidR="00FF4CC9">
        <w:t xml:space="preserve"> </w:t>
      </w:r>
      <w:r w:rsidR="003239C6">
        <w:t xml:space="preserve">Annulation derives from the Latin word </w:t>
      </w:r>
      <w:r w:rsidR="003239C6">
        <w:rPr>
          <w:i/>
        </w:rPr>
        <w:t>annulus</w:t>
      </w:r>
      <w:r w:rsidR="003239C6">
        <w:t xml:space="preserve">, which translates to </w:t>
      </w:r>
      <w:r w:rsidR="001909BB">
        <w:t>“</w:t>
      </w:r>
      <w:r w:rsidR="0079089F">
        <w:t>building a ring</w:t>
      </w:r>
      <w:r w:rsidR="001909BB">
        <w:t>”</w:t>
      </w:r>
      <w:r w:rsidR="005E1B80">
        <w:t xml:space="preserve">. </w:t>
      </w:r>
      <w:r w:rsidR="00F63C0B">
        <w:t xml:space="preserve">Their research goal was to </w:t>
      </w:r>
      <w:r w:rsidR="005E1B80">
        <w:t>develo</w:t>
      </w:r>
      <w:r w:rsidR="00F63C0B">
        <w:t>p a way to synthesize sterol</w:t>
      </w:r>
      <w:r w:rsidR="00217BBF">
        <w:t>s</w:t>
      </w:r>
      <w:r w:rsidR="005E1B80">
        <w:t xml:space="preserve"> and its respective derivatives. The </w:t>
      </w:r>
      <w:r w:rsidR="003239C6">
        <w:t xml:space="preserve">Robinson Annulation reaction is a </w:t>
      </w:r>
      <w:r w:rsidR="008B5038">
        <w:t xml:space="preserve">tandem, </w:t>
      </w:r>
      <w:r w:rsidR="003239C6">
        <w:t>syntheti</w:t>
      </w:r>
      <w:r w:rsidR="003D421D">
        <w:t>c protocol using an enolizable ketone, a base, and a Michael acceptor</w:t>
      </w:r>
      <w:r w:rsidR="00981D4F">
        <w:t xml:space="preserve"> to produce fused cycl</w:t>
      </w:r>
      <w:r w:rsidR="003D421D">
        <w:t xml:space="preserve">ic </w:t>
      </w:r>
      <w:r w:rsidR="003D421D">
        <w:rPr>
          <w:lang w:val="el-GR"/>
        </w:rPr>
        <w:t>α, β</w:t>
      </w:r>
      <w:r w:rsidR="003D421D">
        <w:t>-unsaturated ketone</w:t>
      </w:r>
      <w:r w:rsidR="00981D4F">
        <w:t xml:space="preserve"> compounds</w:t>
      </w:r>
      <w:r w:rsidR="001446CB">
        <w:t xml:space="preserve"> (Scheme 1)</w:t>
      </w:r>
      <w:r w:rsidR="003239C6">
        <w:t xml:space="preserve">. </w:t>
      </w:r>
      <w:r w:rsidR="005E1B80">
        <w:t>The reaction</w:t>
      </w:r>
      <w:r w:rsidR="003500AF">
        <w:t xml:space="preserve"> </w:t>
      </w:r>
      <w:r w:rsidR="004A636F">
        <w:t>begins with</w:t>
      </w:r>
      <w:r w:rsidR="003500AF" w:rsidRPr="00BB6251">
        <w:t xml:space="preserve"> the</w:t>
      </w:r>
      <w:r w:rsidR="001446CB">
        <w:t xml:space="preserve"> 1,4-addition of an enolate (</w:t>
      </w:r>
      <w:r w:rsidR="001446CB">
        <w:rPr>
          <w:b/>
        </w:rPr>
        <w:t>A</w:t>
      </w:r>
      <w:r w:rsidR="001446CB">
        <w:t>) to</w:t>
      </w:r>
      <w:r w:rsidR="005E1B80">
        <w:t xml:space="preserve"> an</w:t>
      </w:r>
      <w:r w:rsidR="001446CB">
        <w:t xml:space="preserve"> </w:t>
      </w:r>
      <w:r w:rsidR="001446CB">
        <w:rPr>
          <w:lang w:val="el-GR"/>
        </w:rPr>
        <w:t>α, β</w:t>
      </w:r>
      <w:r w:rsidR="001446CB">
        <w:t>-unsaturated ketone (</w:t>
      </w:r>
      <w:r w:rsidR="001446CB">
        <w:rPr>
          <w:b/>
        </w:rPr>
        <w:t>B</w:t>
      </w:r>
      <w:r w:rsidR="001446CB">
        <w:t>), also known as Michael Addition</w:t>
      </w:r>
      <w:r w:rsidR="00D85392">
        <w:t xml:space="preserve">. </w:t>
      </w:r>
      <w:r w:rsidR="001446CB">
        <w:t>Next,</w:t>
      </w:r>
      <w:r w:rsidR="003239C6">
        <w:t xml:space="preserve"> the dicarbonyl</w:t>
      </w:r>
      <w:r w:rsidR="001446CB">
        <w:t xml:space="preserve"> intermediate</w:t>
      </w:r>
      <w:r w:rsidR="0010176B">
        <w:t xml:space="preserve"> </w:t>
      </w:r>
      <w:r w:rsidR="001446CB">
        <w:t>(</w:t>
      </w:r>
      <w:r w:rsidR="0010176B">
        <w:rPr>
          <w:b/>
        </w:rPr>
        <w:t>C</w:t>
      </w:r>
      <w:r w:rsidR="001446CB">
        <w:rPr>
          <w:b/>
        </w:rPr>
        <w:t>)</w:t>
      </w:r>
      <w:r w:rsidR="003239C6">
        <w:t xml:space="preserve"> </w:t>
      </w:r>
      <w:r w:rsidR="001446CB">
        <w:t>goes through</w:t>
      </w:r>
      <w:r w:rsidR="003239C6">
        <w:t xml:space="preserve"> an intramolecular aldol condensation reaction </w:t>
      </w:r>
      <w:r w:rsidR="001446CB">
        <w:t>(</w:t>
      </w:r>
      <w:r w:rsidR="0010176B">
        <w:rPr>
          <w:b/>
        </w:rPr>
        <w:t>D</w:t>
      </w:r>
      <w:r w:rsidR="001446CB">
        <w:rPr>
          <w:b/>
        </w:rPr>
        <w:t>)</w:t>
      </w:r>
      <w:r w:rsidR="001446CB">
        <w:t xml:space="preserve">. </w:t>
      </w:r>
      <w:r w:rsidR="001446CB" w:rsidRPr="008C57E1">
        <w:rPr>
          <w:i/>
        </w:rPr>
        <w:t>Beta</w:t>
      </w:r>
      <w:r w:rsidR="001446CB">
        <w:t xml:space="preserve"> hydride elimination (</w:t>
      </w:r>
      <w:r w:rsidR="001446CB">
        <w:rPr>
          <w:b/>
        </w:rPr>
        <w:t>E</w:t>
      </w:r>
      <w:r w:rsidR="001446CB">
        <w:t xml:space="preserve">) then produces the cyclic </w:t>
      </w:r>
      <w:r w:rsidR="001446CB">
        <w:rPr>
          <w:lang w:val="el-GR"/>
        </w:rPr>
        <w:t>α, β</w:t>
      </w:r>
      <w:r w:rsidR="001446CB">
        <w:t>-unsaturated ketone product</w:t>
      </w:r>
      <w:r w:rsidR="002364F2">
        <w:t xml:space="preserve"> (</w:t>
      </w:r>
      <w:r w:rsidR="002364F2">
        <w:rPr>
          <w:b/>
        </w:rPr>
        <w:t>F</w:t>
      </w:r>
      <w:r w:rsidR="002364F2">
        <w:t>)</w:t>
      </w:r>
      <w:r w:rsidR="003D421D">
        <w:t xml:space="preserve"> (Scheme 2</w:t>
      </w:r>
      <w:r w:rsidR="001446CB">
        <w:t xml:space="preserve">). </w:t>
      </w:r>
      <w:r w:rsidR="004A636F">
        <w:t>This reaction is typically run under basic conditions; however, it has been</w:t>
      </w:r>
      <w:r w:rsidR="00E7774F">
        <w:t xml:space="preserve"> shown that if run</w:t>
      </w:r>
      <w:r w:rsidR="004A636F">
        <w:t xml:space="preserve"> </w:t>
      </w:r>
      <w:r w:rsidR="00E7774F">
        <w:t xml:space="preserve">under </w:t>
      </w:r>
      <w:r w:rsidR="004A636F">
        <w:t>acidic conditions</w:t>
      </w:r>
      <w:r w:rsidR="00E7774F">
        <w:t>, similar</w:t>
      </w:r>
      <w:r w:rsidR="004A636F">
        <w:t xml:space="preserve"> products</w:t>
      </w:r>
      <w:r w:rsidR="0097771C">
        <w:t xml:space="preserve"> can be</w:t>
      </w:r>
      <w:r w:rsidR="00E7774F">
        <w:t xml:space="preserve"> produced</w:t>
      </w:r>
      <w:r w:rsidR="001F4909">
        <w:t>.</w:t>
      </w:r>
      <w:r w:rsidR="003239C6">
        <w:t xml:space="preserve"> </w:t>
      </w:r>
    </w:p>
    <w:p w14:paraId="326FCBF7" w14:textId="3B5285C2" w:rsidR="00277897" w:rsidRDefault="00277897" w:rsidP="00D05734">
      <w:pPr>
        <w:pStyle w:val="TAMainText"/>
      </w:pPr>
    </w:p>
    <w:p w14:paraId="3883EF17" w14:textId="6EA7C286" w:rsidR="003D421D" w:rsidRDefault="00AA6F76" w:rsidP="00D05734">
      <w:pPr>
        <w:pStyle w:val="TAMainText"/>
        <w:ind w:firstLine="0"/>
        <w:rPr>
          <w:sz w:val="18"/>
          <w:szCs w:val="18"/>
        </w:rPr>
      </w:pPr>
      <w:r>
        <w:rPr>
          <w:noProof/>
          <w:sz w:val="18"/>
          <w:szCs w:val="18"/>
        </w:rPr>
        <w:drawing>
          <wp:anchor distT="0" distB="0" distL="114300" distR="114300" simplePos="0" relativeHeight="251667456" behindDoc="0" locked="0" layoutInCell="1" allowOverlap="1" wp14:anchorId="3E387815" wp14:editId="30D8B5C5">
            <wp:simplePos x="0" y="0"/>
            <wp:positionH relativeFrom="column">
              <wp:posOffset>558800</wp:posOffset>
            </wp:positionH>
            <wp:positionV relativeFrom="paragraph">
              <wp:posOffset>165100</wp:posOffset>
            </wp:positionV>
            <wp:extent cx="1907540" cy="742950"/>
            <wp:effectExtent l="0" t="0" r="0" b="0"/>
            <wp:wrapThrough wrapText="bothSides">
              <wp:wrapPolygon edited="0">
                <wp:start x="575" y="0"/>
                <wp:lineTo x="0" y="7385"/>
                <wp:lineTo x="0" y="13292"/>
                <wp:lineTo x="6328" y="20677"/>
                <wp:lineTo x="7766" y="20677"/>
                <wp:lineTo x="20421" y="13292"/>
                <wp:lineTo x="21284" y="11077"/>
                <wp:lineTo x="21284" y="3692"/>
                <wp:lineTo x="2301" y="0"/>
                <wp:lineTo x="575" y="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5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21D">
        <w:rPr>
          <w:b/>
          <w:sz w:val="18"/>
          <w:szCs w:val="18"/>
        </w:rPr>
        <w:t xml:space="preserve">Scheme 1. </w:t>
      </w:r>
      <w:r w:rsidR="005425DB">
        <w:rPr>
          <w:sz w:val="18"/>
          <w:szCs w:val="18"/>
        </w:rPr>
        <w:t>General Robinson An</w:t>
      </w:r>
      <w:r w:rsidR="003D421D">
        <w:rPr>
          <w:sz w:val="18"/>
          <w:szCs w:val="18"/>
        </w:rPr>
        <w:t>nulation reaction.</w:t>
      </w:r>
    </w:p>
    <w:p w14:paraId="7268BD4F" w14:textId="6485735E" w:rsidR="003D421D" w:rsidRDefault="003D421D" w:rsidP="00D05734">
      <w:pPr>
        <w:pStyle w:val="TAMainText"/>
        <w:ind w:firstLine="0"/>
        <w:rPr>
          <w:sz w:val="18"/>
          <w:szCs w:val="18"/>
        </w:rPr>
      </w:pPr>
    </w:p>
    <w:p w14:paraId="4BF58727" w14:textId="6F81D728" w:rsidR="003D421D" w:rsidRDefault="003D421D" w:rsidP="00D05734">
      <w:pPr>
        <w:pStyle w:val="TAMainText"/>
        <w:ind w:firstLine="0"/>
        <w:rPr>
          <w:sz w:val="18"/>
          <w:szCs w:val="18"/>
        </w:rPr>
      </w:pPr>
    </w:p>
    <w:p w14:paraId="0A7218DA" w14:textId="77777777" w:rsidR="005832E1" w:rsidRDefault="005832E1" w:rsidP="00D05734">
      <w:pPr>
        <w:pStyle w:val="TAMainText"/>
        <w:ind w:firstLine="0"/>
        <w:rPr>
          <w:sz w:val="18"/>
          <w:szCs w:val="18"/>
        </w:rPr>
      </w:pPr>
    </w:p>
    <w:p w14:paraId="5BC65D96" w14:textId="77777777" w:rsidR="005832E1" w:rsidRDefault="005832E1" w:rsidP="00D05734">
      <w:pPr>
        <w:pStyle w:val="TAMainText"/>
        <w:ind w:firstLine="0"/>
        <w:rPr>
          <w:b/>
          <w:sz w:val="18"/>
          <w:szCs w:val="18"/>
        </w:rPr>
      </w:pPr>
    </w:p>
    <w:p w14:paraId="168B38F1" w14:textId="77777777" w:rsidR="005832E1" w:rsidRDefault="005832E1" w:rsidP="00D05734">
      <w:pPr>
        <w:pStyle w:val="TAMainText"/>
        <w:ind w:firstLine="0"/>
        <w:rPr>
          <w:b/>
          <w:sz w:val="18"/>
          <w:szCs w:val="18"/>
        </w:rPr>
      </w:pPr>
    </w:p>
    <w:p w14:paraId="167ACD95" w14:textId="77777777" w:rsidR="005832E1" w:rsidRDefault="005832E1" w:rsidP="00D05734">
      <w:pPr>
        <w:pStyle w:val="TAMainText"/>
        <w:ind w:firstLine="0"/>
        <w:rPr>
          <w:b/>
          <w:sz w:val="18"/>
          <w:szCs w:val="18"/>
        </w:rPr>
      </w:pPr>
    </w:p>
    <w:p w14:paraId="05F09E4C" w14:textId="3E4A7AE4" w:rsidR="00277897" w:rsidRDefault="00793BFB" w:rsidP="00D05734">
      <w:pPr>
        <w:pStyle w:val="TAMainText"/>
        <w:ind w:firstLine="0"/>
        <w:rPr>
          <w:sz w:val="18"/>
          <w:szCs w:val="18"/>
        </w:rPr>
      </w:pPr>
      <w:r w:rsidRPr="002364F2">
        <w:rPr>
          <w:b/>
          <w:sz w:val="18"/>
          <w:szCs w:val="18"/>
        </w:rPr>
        <w:t xml:space="preserve">Scheme </w:t>
      </w:r>
      <w:r w:rsidR="003D421D">
        <w:rPr>
          <w:b/>
          <w:sz w:val="18"/>
          <w:szCs w:val="18"/>
        </w:rPr>
        <w:t>2</w:t>
      </w:r>
      <w:r w:rsidRPr="002364F2">
        <w:rPr>
          <w:sz w:val="18"/>
          <w:szCs w:val="18"/>
        </w:rPr>
        <w:t>. M</w:t>
      </w:r>
      <w:r w:rsidR="002364F2" w:rsidRPr="002364F2">
        <w:rPr>
          <w:sz w:val="18"/>
          <w:szCs w:val="18"/>
        </w:rPr>
        <w:t xml:space="preserve">echanism of </w:t>
      </w:r>
      <w:r w:rsidR="00D85392">
        <w:rPr>
          <w:sz w:val="18"/>
          <w:szCs w:val="18"/>
        </w:rPr>
        <w:t xml:space="preserve">the </w:t>
      </w:r>
      <w:r w:rsidR="002364F2" w:rsidRPr="002364F2">
        <w:rPr>
          <w:sz w:val="18"/>
          <w:szCs w:val="18"/>
        </w:rPr>
        <w:t>Robinson Annulation.</w:t>
      </w:r>
    </w:p>
    <w:p w14:paraId="198BB6F5" w14:textId="3F14BDF0" w:rsidR="005832E1" w:rsidRDefault="005832E1" w:rsidP="00D05734">
      <w:pPr>
        <w:pStyle w:val="TAMainText"/>
        <w:ind w:firstLine="0"/>
        <w:rPr>
          <w:noProof/>
          <w:sz w:val="18"/>
          <w:szCs w:val="18"/>
        </w:rPr>
      </w:pPr>
    </w:p>
    <w:p w14:paraId="2C254EB0" w14:textId="3BDD8B29" w:rsidR="00152ADB" w:rsidRPr="001B33AA" w:rsidRDefault="00B11A04" w:rsidP="001B33AA">
      <w:pPr>
        <w:pStyle w:val="TAMainText"/>
        <w:ind w:firstLine="0"/>
        <w:rPr>
          <w:noProof/>
          <w:sz w:val="18"/>
          <w:szCs w:val="18"/>
        </w:rPr>
      </w:pPr>
      <w:r>
        <w:rPr>
          <w:noProof/>
          <w:sz w:val="18"/>
          <w:szCs w:val="18"/>
        </w:rPr>
        <w:drawing>
          <wp:anchor distT="0" distB="0" distL="114300" distR="114300" simplePos="0" relativeHeight="251704320" behindDoc="0" locked="0" layoutInCell="1" allowOverlap="1" wp14:anchorId="3A5A1896" wp14:editId="2CFB5364">
            <wp:simplePos x="0" y="0"/>
            <wp:positionH relativeFrom="column">
              <wp:posOffset>0</wp:posOffset>
            </wp:positionH>
            <wp:positionV relativeFrom="paragraph">
              <wp:posOffset>0</wp:posOffset>
            </wp:positionV>
            <wp:extent cx="3248660" cy="1479550"/>
            <wp:effectExtent l="0" t="0" r="2540" b="0"/>
            <wp:wrapThrough wrapText="bothSides">
              <wp:wrapPolygon edited="0">
                <wp:start x="13342" y="0"/>
                <wp:lineTo x="1858" y="1854"/>
                <wp:lineTo x="0" y="2596"/>
                <wp:lineTo x="0" y="7787"/>
                <wp:lineTo x="9289" y="11866"/>
                <wp:lineTo x="0" y="12237"/>
                <wp:lineTo x="0" y="15945"/>
                <wp:lineTo x="1520" y="21136"/>
                <wp:lineTo x="19928" y="21136"/>
                <wp:lineTo x="20097" y="20766"/>
                <wp:lineTo x="19421" y="18912"/>
                <wp:lineTo x="21110" y="16687"/>
                <wp:lineTo x="21279" y="15574"/>
                <wp:lineTo x="19759" y="11866"/>
                <wp:lineTo x="21448" y="5933"/>
                <wp:lineTo x="21448" y="1483"/>
                <wp:lineTo x="20266" y="742"/>
                <wp:lineTo x="14524" y="0"/>
                <wp:lineTo x="13342" y="0"/>
              </wp:wrapPolygon>
            </wp:wrapThrough>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660"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1C3DD" w14:textId="397F8F5F" w:rsidR="003500AF" w:rsidRDefault="00FA446B" w:rsidP="00D05734">
      <w:pPr>
        <w:pStyle w:val="TAMainText"/>
        <w:ind w:firstLine="180"/>
      </w:pPr>
      <w:r>
        <w:t xml:space="preserve">This reaction has three key </w:t>
      </w:r>
      <w:r w:rsidR="00486684">
        <w:t>components</w:t>
      </w:r>
      <w:r>
        <w:t xml:space="preserve"> that will be discussed in furthe</w:t>
      </w:r>
      <w:r w:rsidR="00357824">
        <w:t>r detail: (1) enolate formation;</w:t>
      </w:r>
      <w:r>
        <w:t xml:space="preserve"> (2) Michael ad</w:t>
      </w:r>
      <w:r w:rsidR="00357824">
        <w:t xml:space="preserve">dition; </w:t>
      </w:r>
      <w:r w:rsidR="00601A50">
        <w:t>and (3) intramolecular A</w:t>
      </w:r>
      <w:r>
        <w:t>ldol condensation.</w:t>
      </w:r>
      <w:r w:rsidR="00F63C0B">
        <w:t xml:space="preserve"> Then following will </w:t>
      </w:r>
      <w:r w:rsidR="00F63C0B">
        <w:lastRenderedPageBreak/>
        <w:t>include</w:t>
      </w:r>
      <w:r w:rsidR="008E26DC">
        <w:t xml:space="preserve"> variations and</w:t>
      </w:r>
      <w:r w:rsidR="00F63C0B">
        <w:t xml:space="preserve"> applications of the Robinson Annulation reaction.</w:t>
      </w:r>
    </w:p>
    <w:p w14:paraId="18899B59" w14:textId="77777777" w:rsidR="00FF4CC9" w:rsidRDefault="00FF4CC9" w:rsidP="00D05734">
      <w:pPr>
        <w:pStyle w:val="TAMainText"/>
        <w:ind w:firstLine="0"/>
      </w:pPr>
    </w:p>
    <w:p w14:paraId="721960BF" w14:textId="71B93016" w:rsidR="00FF4CC9" w:rsidRDefault="00FF4CC9" w:rsidP="00D05734">
      <w:pPr>
        <w:pStyle w:val="TAMainText"/>
        <w:ind w:firstLine="0"/>
        <w:rPr>
          <w:b/>
        </w:rPr>
      </w:pPr>
      <w:r>
        <w:rPr>
          <w:b/>
        </w:rPr>
        <w:t>Enolate Formation</w:t>
      </w:r>
    </w:p>
    <w:p w14:paraId="2243E523" w14:textId="77777777" w:rsidR="00FF4CC9" w:rsidRDefault="00FF4CC9" w:rsidP="00D05734">
      <w:pPr>
        <w:pStyle w:val="TAMainText"/>
        <w:ind w:firstLine="0"/>
        <w:rPr>
          <w:b/>
        </w:rPr>
      </w:pPr>
    </w:p>
    <w:p w14:paraId="21BA45CF" w14:textId="4BA310F1" w:rsidR="00FF4CC9" w:rsidRDefault="00486684" w:rsidP="00D05734">
      <w:pPr>
        <w:pStyle w:val="TAMainText"/>
        <w:ind w:firstLine="180"/>
      </w:pPr>
      <w:r>
        <w:t>Eno</w:t>
      </w:r>
      <w:r w:rsidR="00277897">
        <w:t>lates are anion conjugates of</w:t>
      </w:r>
      <w:r>
        <w:t xml:space="preserve"> carbonyl compound</w:t>
      </w:r>
      <w:r w:rsidR="00277897">
        <w:t>s</w:t>
      </w:r>
      <w:r w:rsidR="00F63C0B">
        <w:t>. Discovered by</w:t>
      </w:r>
      <w:r>
        <w:t xml:space="preserve"> H. O. House at MIT, </w:t>
      </w:r>
      <w:r w:rsidR="00232EDF">
        <w:t xml:space="preserve">“specific </w:t>
      </w:r>
      <w:r>
        <w:t>enolates</w:t>
      </w:r>
      <w:r w:rsidR="00232EDF">
        <w:t>”</w:t>
      </w:r>
      <w:r w:rsidR="006A3A29">
        <w:t xml:space="preserve"> have </w:t>
      </w:r>
      <w:r w:rsidR="00F63C0B">
        <w:t xml:space="preserve">in return </w:t>
      </w:r>
      <w:r>
        <w:t xml:space="preserve">made carbanion chemistry one of the most important facets in stereo- and </w:t>
      </w:r>
      <w:r w:rsidR="002A48A2">
        <w:t>regio</w:t>
      </w:r>
      <w:r>
        <w:t>-controlled carbon-carbon</w:t>
      </w:r>
      <w:r w:rsidR="00F63C0B">
        <w:t xml:space="preserve"> bond</w:t>
      </w:r>
      <w:r>
        <w:t xml:space="preserve"> formation.</w:t>
      </w:r>
      <w:r w:rsidR="00793BFB">
        <w:rPr>
          <w:vertAlign w:val="superscript"/>
        </w:rPr>
        <w:t>2</w:t>
      </w:r>
      <w:r>
        <w:t xml:space="preserve"> </w:t>
      </w:r>
      <w:r w:rsidR="004175BA">
        <w:t>Carbanions are anions that are produced when a Br</w:t>
      </w:r>
      <w:r w:rsidR="006A3A29" w:rsidRPr="006A3A29">
        <w:rPr>
          <w:color w:val="000000"/>
          <w:szCs w:val="19"/>
        </w:rPr>
        <w:t>ø</w:t>
      </w:r>
      <w:r w:rsidR="004175BA">
        <w:t xml:space="preserve">nsted base </w:t>
      </w:r>
      <w:r w:rsidR="006008E7">
        <w:t xml:space="preserve">removes a proton from a carbon. </w:t>
      </w:r>
      <w:r w:rsidR="00F63C0B">
        <w:t xml:space="preserve">The reason behind “specific enolates” derives from the fact that </w:t>
      </w:r>
      <w:r w:rsidR="00146CDD">
        <w:t>with unique acidic properties, the</w:t>
      </w:r>
      <w:r w:rsidR="00F63C0B">
        <w:t xml:space="preserve"> hydrogen that is bonded to the carbon next to a carbonyl is more inclined to deprotonate.  </w:t>
      </w:r>
      <w:r w:rsidR="006A3A29">
        <w:t xml:space="preserve">Enolates can be in the form of ketones, esters, amongst other functional groups. </w:t>
      </w:r>
      <w:r w:rsidR="006008E7">
        <w:t xml:space="preserve">To avoid competition between enolate formation and solvent deprotonation, aprotic solvents are typically used, such as lithium diisopropylamide (LDA). </w:t>
      </w:r>
      <w:r w:rsidR="002D6D15">
        <w:t>To form an enolate,</w:t>
      </w:r>
      <w:r w:rsidR="006E4029">
        <w:t xml:space="preserve"> </w:t>
      </w:r>
      <w:r w:rsidR="006A3A29">
        <w:t xml:space="preserve">deprotonation of the carbon </w:t>
      </w:r>
      <w:r w:rsidR="006A3A29" w:rsidRPr="002D6D15">
        <w:rPr>
          <w:i/>
        </w:rPr>
        <w:t>alpha</w:t>
      </w:r>
      <w:r w:rsidR="006A3A29">
        <w:t xml:space="preserve"> to a carbon</w:t>
      </w:r>
      <w:r w:rsidR="005B1814">
        <w:t>yl is to occur</w:t>
      </w:r>
      <w:r w:rsidR="002364F2">
        <w:t xml:space="preserve"> (Scheme 2)</w:t>
      </w:r>
      <w:r w:rsidR="005B1814">
        <w:t xml:space="preserve">. The reason why the carbon </w:t>
      </w:r>
      <w:r w:rsidR="005B1814" w:rsidRPr="002D6D15">
        <w:rPr>
          <w:i/>
        </w:rPr>
        <w:t>alpha</w:t>
      </w:r>
      <w:r w:rsidR="005B1814">
        <w:t xml:space="preserve"> to a carbonyl is more preferred is because th</w:t>
      </w:r>
      <w:r w:rsidR="0058601D">
        <w:t>eir negative charge on oxygen bears</w:t>
      </w:r>
      <w:r w:rsidR="00F63C0B">
        <w:t xml:space="preserve"> mostly here.</w:t>
      </w:r>
    </w:p>
    <w:p w14:paraId="6057563F" w14:textId="1F9AF780" w:rsidR="00B51BE9" w:rsidRDefault="00B51BE9" w:rsidP="00D05734">
      <w:pPr>
        <w:pStyle w:val="TAMainText"/>
        <w:ind w:firstLine="180"/>
      </w:pPr>
    </w:p>
    <w:p w14:paraId="38F81397" w14:textId="28483AE8" w:rsidR="0010176B" w:rsidRDefault="002364F2" w:rsidP="00D05734">
      <w:pPr>
        <w:pStyle w:val="TAMainText"/>
        <w:ind w:firstLine="0"/>
        <w:rPr>
          <w:sz w:val="18"/>
          <w:szCs w:val="18"/>
        </w:rPr>
      </w:pPr>
      <w:r w:rsidRPr="000E6908">
        <w:rPr>
          <w:b/>
          <w:sz w:val="18"/>
          <w:szCs w:val="18"/>
        </w:rPr>
        <w:t>Scheme 2</w:t>
      </w:r>
      <w:r w:rsidR="000E6908">
        <w:rPr>
          <w:sz w:val="18"/>
          <w:szCs w:val="18"/>
        </w:rPr>
        <w:t>. Mechanism of</w:t>
      </w:r>
      <w:r w:rsidRPr="002364F2">
        <w:rPr>
          <w:sz w:val="18"/>
          <w:szCs w:val="18"/>
        </w:rPr>
        <w:t xml:space="preserve"> enolate formation.</w:t>
      </w:r>
    </w:p>
    <w:p w14:paraId="12C53240" w14:textId="77777777" w:rsidR="00D85392" w:rsidRPr="002364F2" w:rsidRDefault="00D85392" w:rsidP="00D05734">
      <w:pPr>
        <w:pStyle w:val="TAMainText"/>
        <w:ind w:firstLine="0"/>
        <w:rPr>
          <w:sz w:val="18"/>
          <w:szCs w:val="18"/>
        </w:rPr>
      </w:pPr>
    </w:p>
    <w:p w14:paraId="20146644" w14:textId="6DBC98D8" w:rsidR="0010176B" w:rsidRDefault="00152ADB" w:rsidP="00D05734">
      <w:pPr>
        <w:pStyle w:val="TAMainText"/>
        <w:ind w:firstLine="180"/>
      </w:pPr>
      <w:r>
        <w:rPr>
          <w:noProof/>
        </w:rPr>
        <w:drawing>
          <wp:anchor distT="0" distB="0" distL="114300" distR="114300" simplePos="0" relativeHeight="251661312" behindDoc="0" locked="0" layoutInCell="1" allowOverlap="1" wp14:anchorId="0DCB5DC1" wp14:editId="61B55D7B">
            <wp:simplePos x="0" y="0"/>
            <wp:positionH relativeFrom="column">
              <wp:posOffset>463550</wp:posOffset>
            </wp:positionH>
            <wp:positionV relativeFrom="paragraph">
              <wp:posOffset>25400</wp:posOffset>
            </wp:positionV>
            <wp:extent cx="2432050" cy="636905"/>
            <wp:effectExtent l="0" t="0" r="6350" b="0"/>
            <wp:wrapThrough wrapText="bothSides">
              <wp:wrapPolygon edited="0">
                <wp:start x="1805" y="0"/>
                <wp:lineTo x="0" y="3446"/>
                <wp:lineTo x="226" y="13783"/>
                <wp:lineTo x="1579" y="13783"/>
                <wp:lineTo x="1128" y="18951"/>
                <wp:lineTo x="2933" y="20674"/>
                <wp:lineTo x="21431" y="20674"/>
                <wp:lineTo x="21431" y="17228"/>
                <wp:lineTo x="20077" y="16367"/>
                <wp:lineTo x="16468" y="11198"/>
                <wp:lineTo x="15791" y="861"/>
                <wp:lineTo x="3609" y="0"/>
                <wp:lineTo x="1805"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41372" w14:textId="75A7A061" w:rsidR="0010176B" w:rsidRDefault="0010176B" w:rsidP="00D05734">
      <w:pPr>
        <w:pStyle w:val="TAMainText"/>
        <w:ind w:firstLine="180"/>
      </w:pPr>
    </w:p>
    <w:p w14:paraId="368AE6F7" w14:textId="4CC517FD" w:rsidR="0010176B" w:rsidRDefault="0010176B" w:rsidP="00D05734">
      <w:pPr>
        <w:pStyle w:val="TAMainText"/>
        <w:ind w:firstLine="180"/>
      </w:pPr>
    </w:p>
    <w:p w14:paraId="09CB5073" w14:textId="77777777" w:rsidR="0010176B" w:rsidRDefault="0010176B" w:rsidP="00D05734">
      <w:pPr>
        <w:pStyle w:val="TAMainText"/>
        <w:ind w:firstLine="180"/>
      </w:pPr>
    </w:p>
    <w:p w14:paraId="57DA0087" w14:textId="2565F4ED" w:rsidR="0010176B" w:rsidRDefault="0010176B" w:rsidP="00D05734">
      <w:pPr>
        <w:pStyle w:val="TAMainText"/>
        <w:ind w:firstLine="180"/>
      </w:pPr>
    </w:p>
    <w:p w14:paraId="61531016" w14:textId="4F051BC2" w:rsidR="0010176B" w:rsidRDefault="0010176B" w:rsidP="00D05734">
      <w:pPr>
        <w:pStyle w:val="TAMainText"/>
        <w:ind w:firstLine="180"/>
      </w:pPr>
    </w:p>
    <w:p w14:paraId="4A9CFC0D" w14:textId="1FDCF7C0" w:rsidR="0010176B" w:rsidRDefault="003610FE" w:rsidP="00D05734">
      <w:pPr>
        <w:pStyle w:val="TAMainText"/>
        <w:ind w:firstLine="0"/>
        <w:rPr>
          <w:b/>
        </w:rPr>
      </w:pPr>
      <w:r>
        <w:rPr>
          <w:b/>
        </w:rPr>
        <w:t>Application of Enolate Formation</w:t>
      </w:r>
    </w:p>
    <w:p w14:paraId="65B65B64" w14:textId="77777777" w:rsidR="003610FE" w:rsidRDefault="003610FE" w:rsidP="00D05734">
      <w:pPr>
        <w:pStyle w:val="TAMainText"/>
        <w:ind w:firstLine="0"/>
        <w:rPr>
          <w:b/>
        </w:rPr>
      </w:pPr>
    </w:p>
    <w:p w14:paraId="7B195438" w14:textId="41304388" w:rsidR="003610FE" w:rsidRDefault="00635682" w:rsidP="00357824">
      <w:pPr>
        <w:pStyle w:val="TAMainText"/>
        <w:ind w:firstLine="180"/>
      </w:pPr>
      <w:r>
        <w:t>As mentioned earlier, enolate formation is at the heart of synthesis for its involvement in carbon-carbon bond formation. Richard J. K. Taylor’s grou</w:t>
      </w:r>
      <w:r w:rsidR="00DA3DEB">
        <w:t xml:space="preserve">p found that improving their methodology of the (-)-mearsine protocol involved enolate formation </w:t>
      </w:r>
      <w:r w:rsidR="00357824">
        <w:t>in</w:t>
      </w:r>
      <w:r w:rsidR="00DA3DEB">
        <w:t xml:space="preserve"> the </w:t>
      </w:r>
      <w:r w:rsidR="00357824">
        <w:t>inchoate</w:t>
      </w:r>
      <w:r w:rsidR="00DA3DEB">
        <w:t xml:space="preserve"> steps.</w:t>
      </w:r>
      <w:r w:rsidR="00A03DCF">
        <w:rPr>
          <w:vertAlign w:val="superscript"/>
        </w:rPr>
        <w:t>3</w:t>
      </w:r>
      <w:r w:rsidR="00DA3DEB">
        <w:t xml:space="preserve"> 1,3-diketone, the precursor for the overall </w:t>
      </w:r>
      <w:r w:rsidR="00357824">
        <w:t>reaction</w:t>
      </w:r>
      <w:r w:rsidR="00DA3DEB">
        <w:t xml:space="preserve"> (which will not be discussed), had to be synthesized by </w:t>
      </w:r>
      <w:r w:rsidR="00B62A37">
        <w:t xml:space="preserve">an initial </w:t>
      </w:r>
      <w:r w:rsidR="00DA3DEB">
        <w:t xml:space="preserve">enolate formation, </w:t>
      </w:r>
      <w:r w:rsidR="00B62A37">
        <w:t xml:space="preserve">more specifically </w:t>
      </w:r>
      <w:r w:rsidR="00DA3DEB">
        <w:t>t</w:t>
      </w:r>
      <w:r w:rsidR="008C57E1">
        <w:t>reating 5-methyl-cyclohexanone</w:t>
      </w:r>
      <w:r w:rsidR="00DA3DEB">
        <w:t xml:space="preserve"> with LDA (Scheme 3).</w:t>
      </w:r>
      <w:r w:rsidR="00984509">
        <w:t xml:space="preserve"> </w:t>
      </w:r>
      <w:r w:rsidR="00DD773C">
        <w:t xml:space="preserve">This example reconstitutes the fact that it is necessary to form enolates, especially in regard to natural product total syntheses. </w:t>
      </w:r>
    </w:p>
    <w:p w14:paraId="547252C8" w14:textId="77777777" w:rsidR="00B62A37" w:rsidRDefault="00B62A37" w:rsidP="00D05734">
      <w:pPr>
        <w:pStyle w:val="TAMainText"/>
        <w:ind w:firstLine="0"/>
      </w:pPr>
    </w:p>
    <w:p w14:paraId="1BA152A8" w14:textId="04108243" w:rsidR="00984509" w:rsidRDefault="00984509" w:rsidP="00D05734">
      <w:pPr>
        <w:pStyle w:val="TAMainText"/>
        <w:ind w:firstLine="0"/>
        <w:rPr>
          <w:sz w:val="18"/>
          <w:szCs w:val="18"/>
        </w:rPr>
      </w:pPr>
      <w:r>
        <w:rPr>
          <w:b/>
          <w:sz w:val="18"/>
          <w:szCs w:val="18"/>
        </w:rPr>
        <w:t xml:space="preserve">Scheme 3. </w:t>
      </w:r>
      <w:r>
        <w:rPr>
          <w:sz w:val="18"/>
          <w:szCs w:val="18"/>
        </w:rPr>
        <w:t>Mechanism of enolate formation</w:t>
      </w:r>
      <w:r w:rsidR="00AC2993">
        <w:rPr>
          <w:sz w:val="18"/>
          <w:szCs w:val="18"/>
        </w:rPr>
        <w:t xml:space="preserve"> to form precursor</w:t>
      </w:r>
      <w:r>
        <w:rPr>
          <w:sz w:val="18"/>
          <w:szCs w:val="18"/>
        </w:rPr>
        <w:t>.</w:t>
      </w:r>
    </w:p>
    <w:p w14:paraId="1460E058" w14:textId="008FDD2C" w:rsidR="00984509" w:rsidRDefault="008C57E1" w:rsidP="00D05734">
      <w:pPr>
        <w:pStyle w:val="TAMainText"/>
        <w:ind w:firstLine="0"/>
        <w:rPr>
          <w:noProof/>
          <w:sz w:val="18"/>
          <w:szCs w:val="18"/>
        </w:rPr>
      </w:pPr>
      <w:r>
        <w:rPr>
          <w:noProof/>
          <w:sz w:val="18"/>
          <w:szCs w:val="18"/>
        </w:rPr>
        <w:drawing>
          <wp:anchor distT="0" distB="0" distL="114300" distR="114300" simplePos="0" relativeHeight="251696128" behindDoc="0" locked="0" layoutInCell="1" allowOverlap="1" wp14:anchorId="065F9C1B" wp14:editId="08B2CDCB">
            <wp:simplePos x="0" y="0"/>
            <wp:positionH relativeFrom="column">
              <wp:posOffset>-25400</wp:posOffset>
            </wp:positionH>
            <wp:positionV relativeFrom="paragraph">
              <wp:posOffset>139700</wp:posOffset>
            </wp:positionV>
            <wp:extent cx="3143250" cy="473710"/>
            <wp:effectExtent l="0" t="0" r="6350" b="8890"/>
            <wp:wrapThrough wrapText="bothSides">
              <wp:wrapPolygon edited="0">
                <wp:start x="349" y="0"/>
                <wp:lineTo x="0" y="1158"/>
                <wp:lineTo x="0" y="16214"/>
                <wp:lineTo x="349" y="20847"/>
                <wp:lineTo x="20945" y="20847"/>
                <wp:lineTo x="21469" y="17373"/>
                <wp:lineTo x="21469" y="9265"/>
                <wp:lineTo x="19898" y="0"/>
                <wp:lineTo x="349"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E5352" w14:textId="3E9844AD" w:rsidR="0010176B" w:rsidRDefault="00D03F44" w:rsidP="00357824">
      <w:pPr>
        <w:pStyle w:val="TAMainText"/>
        <w:ind w:firstLine="270"/>
      </w:pPr>
      <w:r>
        <w:t xml:space="preserve">Stereoselectivity is also important to take into consideration when completing a synthesis. </w:t>
      </w:r>
      <w:r w:rsidR="00402D2F">
        <w:t>Especially when considering enolates, being chemoselective also drives a reaction, if of course depending on the protocol. With that being said, Karl A. Scheidt’s group was able to synthesize their desirable homoenolates.</w:t>
      </w:r>
      <w:r w:rsidR="00A03DCF">
        <w:rPr>
          <w:vertAlign w:val="superscript"/>
        </w:rPr>
        <w:t>4</w:t>
      </w:r>
      <w:r w:rsidR="00402D2F">
        <w:t xml:space="preserve"> </w:t>
      </w:r>
      <w:r w:rsidR="00A03DCF">
        <w:t>Addition</w:t>
      </w:r>
      <w:r w:rsidR="00402D2F">
        <w:t xml:space="preserve"> of the amide enolate and acylsilane </w:t>
      </w:r>
      <w:r w:rsidR="008C3C57">
        <w:t>had to occur</w:t>
      </w:r>
      <w:r w:rsidR="00402D2F">
        <w:t xml:space="preserve"> via </w:t>
      </w:r>
      <w:r w:rsidR="00402D2F">
        <w:rPr>
          <w:i/>
        </w:rPr>
        <w:t>in situ</w:t>
      </w:r>
      <w:r w:rsidR="008C3C57">
        <w:rPr>
          <w:i/>
        </w:rPr>
        <w:t xml:space="preserve"> </w:t>
      </w:r>
      <w:r w:rsidR="008C3C57">
        <w:t>(Scheme 4)</w:t>
      </w:r>
      <w:r w:rsidR="00402D2F">
        <w:t xml:space="preserve">. By making the product </w:t>
      </w:r>
      <w:r w:rsidR="00402D2F">
        <w:rPr>
          <w:i/>
        </w:rPr>
        <w:t>in situ</w:t>
      </w:r>
      <w:r w:rsidR="00402D2F">
        <w:t xml:space="preserve">, </w:t>
      </w:r>
      <w:r w:rsidR="008C3C57">
        <w:t>nucleophilic addition</w:t>
      </w:r>
      <w:r w:rsidR="00402D2F">
        <w:t xml:space="preserve"> to </w:t>
      </w:r>
      <w:r w:rsidR="00154D24">
        <w:t xml:space="preserve">stereo-specific </w:t>
      </w:r>
      <w:r w:rsidR="00402D2F">
        <w:t xml:space="preserve">functional groups like aldehydes, alkyl halides, ketones, imines, and </w:t>
      </w:r>
      <w:r w:rsidR="008C3C57">
        <w:t>so forth were made possible.</w:t>
      </w:r>
    </w:p>
    <w:p w14:paraId="2E070977" w14:textId="77777777" w:rsidR="00321835" w:rsidRDefault="00321835" w:rsidP="00D05734">
      <w:pPr>
        <w:pStyle w:val="TAMainText"/>
        <w:ind w:firstLine="0"/>
      </w:pPr>
    </w:p>
    <w:p w14:paraId="4E8D9B71" w14:textId="77777777" w:rsidR="008C57E1" w:rsidRDefault="008C57E1" w:rsidP="00D05734">
      <w:pPr>
        <w:pStyle w:val="TAMainText"/>
        <w:ind w:firstLine="0"/>
        <w:rPr>
          <w:b/>
          <w:sz w:val="18"/>
          <w:szCs w:val="18"/>
        </w:rPr>
      </w:pPr>
    </w:p>
    <w:p w14:paraId="60C00A18" w14:textId="77777777" w:rsidR="00B11A04" w:rsidRDefault="00B11A04" w:rsidP="00D05734">
      <w:pPr>
        <w:pStyle w:val="TAMainText"/>
        <w:ind w:firstLine="0"/>
        <w:rPr>
          <w:b/>
          <w:sz w:val="18"/>
          <w:szCs w:val="18"/>
        </w:rPr>
      </w:pPr>
    </w:p>
    <w:p w14:paraId="42501AC7" w14:textId="77777777" w:rsidR="00B11A04" w:rsidRDefault="00B11A04" w:rsidP="00D05734">
      <w:pPr>
        <w:pStyle w:val="TAMainText"/>
        <w:ind w:firstLine="0"/>
        <w:rPr>
          <w:b/>
          <w:sz w:val="18"/>
          <w:szCs w:val="18"/>
        </w:rPr>
      </w:pPr>
    </w:p>
    <w:p w14:paraId="3D306934" w14:textId="77777777" w:rsidR="001B33AA" w:rsidRDefault="001B33AA" w:rsidP="00D05734">
      <w:pPr>
        <w:pStyle w:val="TAMainText"/>
        <w:ind w:firstLine="0"/>
        <w:rPr>
          <w:b/>
          <w:sz w:val="18"/>
          <w:szCs w:val="18"/>
        </w:rPr>
      </w:pPr>
    </w:p>
    <w:p w14:paraId="53EACFB0" w14:textId="77777777" w:rsidR="001B33AA" w:rsidRDefault="001B33AA" w:rsidP="00D05734">
      <w:pPr>
        <w:pStyle w:val="TAMainText"/>
        <w:ind w:firstLine="0"/>
        <w:rPr>
          <w:b/>
          <w:sz w:val="18"/>
          <w:szCs w:val="18"/>
        </w:rPr>
      </w:pPr>
    </w:p>
    <w:p w14:paraId="0462C6EF" w14:textId="34DB1614" w:rsidR="00D2120D" w:rsidRDefault="00D2120D" w:rsidP="00D05734">
      <w:pPr>
        <w:pStyle w:val="TAMainText"/>
        <w:ind w:firstLine="0"/>
        <w:rPr>
          <w:sz w:val="18"/>
          <w:szCs w:val="18"/>
        </w:rPr>
      </w:pPr>
      <w:r>
        <w:rPr>
          <w:b/>
          <w:sz w:val="18"/>
          <w:szCs w:val="18"/>
        </w:rPr>
        <w:lastRenderedPageBreak/>
        <w:t>Scheme 4.</w:t>
      </w:r>
      <w:r>
        <w:rPr>
          <w:sz w:val="18"/>
          <w:szCs w:val="18"/>
        </w:rPr>
        <w:t xml:space="preserve"> Generalized homoenolate formation.</w:t>
      </w:r>
    </w:p>
    <w:p w14:paraId="1DA1155D" w14:textId="367A7C22" w:rsidR="00154D24" w:rsidRDefault="00154D24" w:rsidP="00D05734">
      <w:pPr>
        <w:pStyle w:val="TAMainText"/>
        <w:ind w:firstLine="0"/>
        <w:rPr>
          <w:sz w:val="18"/>
          <w:szCs w:val="18"/>
        </w:rPr>
      </w:pPr>
      <w:r>
        <w:rPr>
          <w:noProof/>
          <w:sz w:val="18"/>
          <w:szCs w:val="18"/>
        </w:rPr>
        <w:drawing>
          <wp:anchor distT="0" distB="0" distL="114300" distR="114300" simplePos="0" relativeHeight="251687936" behindDoc="0" locked="0" layoutInCell="1" allowOverlap="1" wp14:anchorId="5208A267" wp14:editId="4F11D3F1">
            <wp:simplePos x="0" y="0"/>
            <wp:positionH relativeFrom="column">
              <wp:posOffset>0</wp:posOffset>
            </wp:positionH>
            <wp:positionV relativeFrom="paragraph">
              <wp:posOffset>139700</wp:posOffset>
            </wp:positionV>
            <wp:extent cx="3213100" cy="756920"/>
            <wp:effectExtent l="0" t="0" r="12700" b="5080"/>
            <wp:wrapThrough wrapText="bothSides">
              <wp:wrapPolygon edited="0">
                <wp:start x="1537" y="0"/>
                <wp:lineTo x="0" y="5074"/>
                <wp:lineTo x="0" y="7973"/>
                <wp:lineTo x="4610" y="11597"/>
                <wp:lineTo x="2903" y="11597"/>
                <wp:lineTo x="3586" y="19570"/>
                <wp:lineTo x="18612" y="21020"/>
                <wp:lineTo x="19466" y="21020"/>
                <wp:lineTo x="21515" y="20295"/>
                <wp:lineTo x="21344" y="12322"/>
                <wp:lineTo x="5464" y="11597"/>
                <wp:lineTo x="21002" y="8698"/>
                <wp:lineTo x="21173" y="0"/>
                <wp:lineTo x="12123" y="0"/>
                <wp:lineTo x="1537" y="0"/>
              </wp:wrapPolygon>
            </wp:wrapThrough>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3100"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D44C9" w14:textId="06735B3E" w:rsidR="00154D24" w:rsidRDefault="00154D24" w:rsidP="00D05734">
      <w:pPr>
        <w:pStyle w:val="TAMainText"/>
        <w:ind w:firstLine="0"/>
        <w:rPr>
          <w:sz w:val="18"/>
          <w:szCs w:val="18"/>
        </w:rPr>
      </w:pPr>
    </w:p>
    <w:p w14:paraId="00C6457A" w14:textId="77777777" w:rsidR="00D2120D" w:rsidRPr="00D2120D" w:rsidRDefault="00D2120D" w:rsidP="00D05734">
      <w:pPr>
        <w:pStyle w:val="TAMainText"/>
        <w:ind w:firstLine="0"/>
        <w:rPr>
          <w:sz w:val="18"/>
          <w:szCs w:val="18"/>
        </w:rPr>
      </w:pPr>
    </w:p>
    <w:p w14:paraId="11F4596F" w14:textId="77777777" w:rsidR="00154D24" w:rsidRDefault="00154D24" w:rsidP="00D05734">
      <w:pPr>
        <w:pStyle w:val="TAMainText"/>
        <w:ind w:firstLine="0"/>
      </w:pPr>
    </w:p>
    <w:p w14:paraId="119496E4" w14:textId="0699C54B" w:rsidR="00B51BE9" w:rsidRDefault="00B51BE9" w:rsidP="00D05734">
      <w:pPr>
        <w:pStyle w:val="TAMainText"/>
        <w:ind w:firstLine="0"/>
        <w:rPr>
          <w:b/>
        </w:rPr>
      </w:pPr>
      <w:r>
        <w:rPr>
          <w:b/>
        </w:rPr>
        <w:t>Michael Addition</w:t>
      </w:r>
    </w:p>
    <w:p w14:paraId="118A6D8F" w14:textId="4C132611" w:rsidR="00B51BE9" w:rsidRDefault="00B51BE9" w:rsidP="00D05734">
      <w:pPr>
        <w:pStyle w:val="TAMainText"/>
        <w:ind w:firstLine="0"/>
        <w:rPr>
          <w:b/>
        </w:rPr>
      </w:pPr>
    </w:p>
    <w:p w14:paraId="1DF99B65" w14:textId="5837DA4E" w:rsidR="003500AF" w:rsidRDefault="006877AB" w:rsidP="00D05734">
      <w:pPr>
        <w:pStyle w:val="TAMainText"/>
        <w:ind w:firstLine="180"/>
      </w:pPr>
      <w:r>
        <w:t>Michael A</w:t>
      </w:r>
      <w:r w:rsidR="005E32E3">
        <w:t>ddition is the nuc</w:t>
      </w:r>
      <w:r w:rsidR="005425DB">
        <w:t>leophilic addition of an enolizable ketone</w:t>
      </w:r>
      <w:r w:rsidR="005E32E3">
        <w:t xml:space="preserve"> to </w:t>
      </w:r>
      <w:r w:rsidR="0073682A">
        <w:t>a</w:t>
      </w:r>
      <w:r w:rsidR="005E32E3">
        <w:t xml:space="preserve"> </w:t>
      </w:r>
      <w:r w:rsidR="005E32E3">
        <w:rPr>
          <w:lang w:val="el-GR"/>
        </w:rPr>
        <w:t>α, β</w:t>
      </w:r>
      <w:r w:rsidR="0073682A">
        <w:t xml:space="preserve">-unsaturated </w:t>
      </w:r>
      <w:r w:rsidR="00816123">
        <w:t>withdrawing group</w:t>
      </w:r>
      <w:r w:rsidR="00DB7E0D">
        <w:t xml:space="preserve"> (Scheme 5</w:t>
      </w:r>
      <w:r w:rsidR="004C36CF">
        <w:t>)</w:t>
      </w:r>
      <w:r w:rsidR="00152ADB">
        <w:t xml:space="preserve">, </w:t>
      </w:r>
      <w:r>
        <w:t>established</w:t>
      </w:r>
      <w:r w:rsidR="00AA053C">
        <w:t xml:space="preserve"> by Arthur Michael</w:t>
      </w:r>
      <w:r w:rsidR="0073682A">
        <w:t>.</w:t>
      </w:r>
      <w:r w:rsidR="00A03DCF">
        <w:rPr>
          <w:vertAlign w:val="superscript"/>
        </w:rPr>
        <w:t>5</w:t>
      </w:r>
      <w:r w:rsidR="00793BFB">
        <w:t xml:space="preserve"> This is an important step for</w:t>
      </w:r>
      <w:r w:rsidR="00AA053C">
        <w:t xml:space="preserve"> the overall Robinson Annulation</w:t>
      </w:r>
      <w:r w:rsidR="0010176B">
        <w:t xml:space="preserve"> mechanism. Michael Addition</w:t>
      </w:r>
      <w:r w:rsidR="00AA053C">
        <w:t xml:space="preserve"> allows </w:t>
      </w:r>
      <w:r w:rsidR="00503F80">
        <w:t xml:space="preserve">conjugation in </w:t>
      </w:r>
      <w:r w:rsidR="00AA053C">
        <w:t>the finishing c</w:t>
      </w:r>
      <w:r w:rsidR="002364F2">
        <w:t>yclic</w:t>
      </w:r>
      <w:r w:rsidR="00AA053C">
        <w:t xml:space="preserve"> product, indicating stability within the product. </w:t>
      </w:r>
      <w:r w:rsidR="0073682A">
        <w:t xml:space="preserve"> </w:t>
      </w:r>
      <w:r w:rsidR="00872FF0">
        <w:t xml:space="preserve">The reaction calls for the formation of the enolate ion. Typically, </w:t>
      </w:r>
      <w:r w:rsidR="00321835">
        <w:t>a base,</w:t>
      </w:r>
      <w:r w:rsidR="00872FF0">
        <w:t xml:space="preserve"> such as sodium hydroxide </w:t>
      </w:r>
      <w:r w:rsidR="00503F80">
        <w:t>or</w:t>
      </w:r>
      <w:r w:rsidR="00872FF0">
        <w:t xml:space="preserve"> potassium hydroxide</w:t>
      </w:r>
      <w:r w:rsidR="00321835">
        <w:t>,</w:t>
      </w:r>
      <w:r w:rsidR="00872FF0">
        <w:t xml:space="preserve"> are used to deprotonate the alpha carbon</w:t>
      </w:r>
      <w:r w:rsidR="00152ADB">
        <w:t xml:space="preserve"> </w:t>
      </w:r>
      <w:r w:rsidR="00321835">
        <w:t>adjacent</w:t>
      </w:r>
      <w:r w:rsidR="00152ADB">
        <w:t xml:space="preserve"> to the carbonyl</w:t>
      </w:r>
      <w:r w:rsidR="00872FF0">
        <w:t xml:space="preserve">. </w:t>
      </w:r>
      <w:r w:rsidR="00321835">
        <w:t>The</w:t>
      </w:r>
      <w:r w:rsidR="00872FF0">
        <w:t xml:space="preserve"> newly formed enolate</w:t>
      </w:r>
      <w:r w:rsidR="008C57E1">
        <w:t xml:space="preserve"> (</w:t>
      </w:r>
      <w:r w:rsidR="0075216A" w:rsidRPr="0075216A">
        <w:rPr>
          <w:b/>
        </w:rPr>
        <w:t>G</w:t>
      </w:r>
      <w:r w:rsidR="008C57E1">
        <w:t>)</w:t>
      </w:r>
      <w:r w:rsidR="00872FF0">
        <w:t xml:space="preserve"> </w:t>
      </w:r>
      <w:r w:rsidR="00321835">
        <w:t>then nucleophilically adds</w:t>
      </w:r>
      <w:r w:rsidR="00872FF0">
        <w:t xml:space="preserve"> to the</w:t>
      </w:r>
      <w:r w:rsidR="00110D19">
        <w:t xml:space="preserve"> </w:t>
      </w:r>
      <w:r w:rsidR="00321835">
        <w:t>electrophilic Michael acceptor</w:t>
      </w:r>
      <w:r w:rsidR="008C57E1">
        <w:t xml:space="preserve"> (</w:t>
      </w:r>
      <w:r w:rsidR="0075216A" w:rsidRPr="0075216A">
        <w:rPr>
          <w:b/>
        </w:rPr>
        <w:t>H</w:t>
      </w:r>
      <w:r w:rsidR="008C57E1">
        <w:t>)</w:t>
      </w:r>
      <w:r w:rsidR="00321835">
        <w:t>. Michael a</w:t>
      </w:r>
      <w:r w:rsidR="00872FF0">
        <w:t>cceptors are</w:t>
      </w:r>
      <w:r w:rsidR="002364F2">
        <w:t xml:space="preserve"> </w:t>
      </w:r>
      <w:r w:rsidR="008C57E1">
        <w:t>α, β-</w:t>
      </w:r>
      <w:r w:rsidR="00321835">
        <w:t xml:space="preserve">unsaturated ketones, which favors the addition of the nucleophile to the </w:t>
      </w:r>
      <w:r w:rsidR="008C57E1">
        <w:t>β-</w:t>
      </w:r>
      <w:r w:rsidR="00321835">
        <w:t>position</w:t>
      </w:r>
      <w:r w:rsidR="00110D19">
        <w:t>.</w:t>
      </w:r>
      <w:r>
        <w:t xml:space="preserve"> </w:t>
      </w:r>
      <w:r w:rsidR="009B2063">
        <w:t>The final step is protonation of</w:t>
      </w:r>
      <w:r w:rsidR="00321835">
        <w:t xml:space="preserve"> the </w:t>
      </w:r>
      <w:r w:rsidR="009B2063">
        <w:t xml:space="preserve">anionic </w:t>
      </w:r>
      <w:r w:rsidR="00321835">
        <w:t>lone pair</w:t>
      </w:r>
      <w:r w:rsidR="008C57E1">
        <w:t xml:space="preserve"> (</w:t>
      </w:r>
      <w:r w:rsidR="0075216A" w:rsidRPr="0075216A">
        <w:rPr>
          <w:b/>
        </w:rPr>
        <w:t>I</w:t>
      </w:r>
      <w:r w:rsidR="008C57E1">
        <w:t>)</w:t>
      </w:r>
      <w:r w:rsidR="00321835">
        <w:t xml:space="preserve"> </w:t>
      </w:r>
      <w:r w:rsidR="009B2063">
        <w:t>(</w:t>
      </w:r>
      <w:r w:rsidR="00DB7E0D">
        <w:t>Scheme 6</w:t>
      </w:r>
      <w:r w:rsidR="00C75A94">
        <w:t>)</w:t>
      </w:r>
      <w:r w:rsidR="00872FF0">
        <w:t xml:space="preserve">. </w:t>
      </w:r>
      <w:r>
        <w:t>This reaction will cr</w:t>
      </w:r>
      <w:r w:rsidR="00321835">
        <w:t>eate a thermodynamic favorable</w:t>
      </w:r>
      <w:r>
        <w:t xml:space="preserve"> product</w:t>
      </w:r>
      <w:r w:rsidR="008C57E1">
        <w:t xml:space="preserve"> (</w:t>
      </w:r>
      <w:r w:rsidR="0075216A" w:rsidRPr="0075216A">
        <w:rPr>
          <w:b/>
        </w:rPr>
        <w:t>J</w:t>
      </w:r>
      <w:r w:rsidR="008C57E1">
        <w:t>)</w:t>
      </w:r>
      <w:r>
        <w:t>.</w:t>
      </w:r>
    </w:p>
    <w:p w14:paraId="431B2A4A" w14:textId="77777777" w:rsidR="000800C2" w:rsidRDefault="000800C2" w:rsidP="00D05734">
      <w:pPr>
        <w:pStyle w:val="TAMainText"/>
        <w:ind w:firstLine="0"/>
      </w:pPr>
    </w:p>
    <w:p w14:paraId="04322E02" w14:textId="35E11E80" w:rsidR="000800C2" w:rsidRDefault="00152ADB" w:rsidP="00D05734">
      <w:pPr>
        <w:pStyle w:val="TAMainText"/>
        <w:ind w:firstLine="0"/>
        <w:rPr>
          <w:sz w:val="18"/>
          <w:szCs w:val="18"/>
        </w:rPr>
      </w:pPr>
      <w:r>
        <w:rPr>
          <w:b/>
          <w:sz w:val="18"/>
          <w:szCs w:val="18"/>
        </w:rPr>
        <w:t>Scheme 5</w:t>
      </w:r>
      <w:r w:rsidR="000800C2">
        <w:rPr>
          <w:b/>
          <w:sz w:val="18"/>
          <w:szCs w:val="18"/>
        </w:rPr>
        <w:t xml:space="preserve">. </w:t>
      </w:r>
      <w:r w:rsidR="004E368C">
        <w:rPr>
          <w:sz w:val="18"/>
          <w:szCs w:val="18"/>
        </w:rPr>
        <w:t>General</w:t>
      </w:r>
      <w:r w:rsidR="000800C2">
        <w:rPr>
          <w:sz w:val="18"/>
          <w:szCs w:val="18"/>
        </w:rPr>
        <w:t xml:space="preserve"> Michael Addition</w:t>
      </w:r>
      <w:r w:rsidR="004E368C">
        <w:rPr>
          <w:sz w:val="18"/>
          <w:szCs w:val="18"/>
        </w:rPr>
        <w:t xml:space="preserve"> reaction.</w:t>
      </w:r>
    </w:p>
    <w:p w14:paraId="52FF181D" w14:textId="33C6E2D0" w:rsidR="00785776" w:rsidRDefault="00146CDD" w:rsidP="00D05734">
      <w:pPr>
        <w:pStyle w:val="TAMainText"/>
        <w:ind w:firstLine="0"/>
        <w:rPr>
          <w:sz w:val="18"/>
          <w:szCs w:val="18"/>
        </w:rPr>
      </w:pPr>
      <w:r>
        <w:rPr>
          <w:noProof/>
          <w:sz w:val="18"/>
          <w:szCs w:val="18"/>
        </w:rPr>
        <w:drawing>
          <wp:anchor distT="0" distB="0" distL="114300" distR="114300" simplePos="0" relativeHeight="251669504" behindDoc="0" locked="0" layoutInCell="1" allowOverlap="1" wp14:anchorId="0311E50F" wp14:editId="1B922030">
            <wp:simplePos x="0" y="0"/>
            <wp:positionH relativeFrom="column">
              <wp:posOffset>209550</wp:posOffset>
            </wp:positionH>
            <wp:positionV relativeFrom="paragraph">
              <wp:posOffset>127000</wp:posOffset>
            </wp:positionV>
            <wp:extent cx="2933700" cy="883920"/>
            <wp:effectExtent l="0" t="0" r="12700" b="5080"/>
            <wp:wrapThrough wrapText="bothSides">
              <wp:wrapPolygon edited="0">
                <wp:start x="2057" y="0"/>
                <wp:lineTo x="0" y="1862"/>
                <wp:lineTo x="0" y="6828"/>
                <wp:lineTo x="6171" y="9931"/>
                <wp:lineTo x="6171" y="13655"/>
                <wp:lineTo x="7855" y="19862"/>
                <wp:lineTo x="8790" y="21103"/>
                <wp:lineTo x="18327" y="21103"/>
                <wp:lineTo x="21319" y="21103"/>
                <wp:lineTo x="21506" y="19862"/>
                <wp:lineTo x="21506" y="17379"/>
                <wp:lineTo x="14961" y="9310"/>
                <wp:lineTo x="15522" y="4966"/>
                <wp:lineTo x="14774" y="0"/>
                <wp:lineTo x="2057" y="0"/>
              </wp:wrapPolygon>
            </wp:wrapThrough>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CF6AA" w14:textId="00BB7D69" w:rsidR="00785776" w:rsidRDefault="00785776" w:rsidP="00D05734">
      <w:pPr>
        <w:pStyle w:val="TAMainText"/>
        <w:ind w:firstLine="0"/>
        <w:rPr>
          <w:sz w:val="18"/>
          <w:szCs w:val="18"/>
        </w:rPr>
      </w:pPr>
    </w:p>
    <w:p w14:paraId="4221CE2F" w14:textId="77777777" w:rsidR="004E368C" w:rsidRDefault="004E368C" w:rsidP="00D05734">
      <w:pPr>
        <w:pStyle w:val="TAMainText"/>
        <w:ind w:firstLine="0"/>
        <w:rPr>
          <w:sz w:val="18"/>
          <w:szCs w:val="18"/>
        </w:rPr>
      </w:pPr>
    </w:p>
    <w:p w14:paraId="770DE9C2" w14:textId="7FAB81C3" w:rsidR="004E368C" w:rsidRDefault="004E368C" w:rsidP="00D05734">
      <w:pPr>
        <w:pStyle w:val="TAMainText"/>
        <w:ind w:firstLine="0"/>
        <w:rPr>
          <w:sz w:val="18"/>
          <w:szCs w:val="18"/>
        </w:rPr>
      </w:pPr>
    </w:p>
    <w:p w14:paraId="6BCDA46C" w14:textId="77777777" w:rsidR="004E368C" w:rsidRDefault="004E368C" w:rsidP="00D05734">
      <w:pPr>
        <w:pStyle w:val="TAMainText"/>
        <w:ind w:firstLine="0"/>
        <w:rPr>
          <w:sz w:val="18"/>
          <w:szCs w:val="18"/>
        </w:rPr>
      </w:pPr>
    </w:p>
    <w:p w14:paraId="719E1230" w14:textId="77777777" w:rsidR="00785776" w:rsidRDefault="00785776" w:rsidP="00D05734">
      <w:pPr>
        <w:pStyle w:val="TAMainText"/>
        <w:ind w:firstLine="0"/>
        <w:rPr>
          <w:b/>
          <w:sz w:val="18"/>
          <w:szCs w:val="18"/>
        </w:rPr>
      </w:pPr>
    </w:p>
    <w:p w14:paraId="582CA8D5" w14:textId="77777777" w:rsidR="00785776" w:rsidRDefault="00785776" w:rsidP="00D05734">
      <w:pPr>
        <w:pStyle w:val="TAMainText"/>
        <w:ind w:firstLine="0"/>
        <w:rPr>
          <w:b/>
          <w:sz w:val="18"/>
          <w:szCs w:val="18"/>
        </w:rPr>
      </w:pPr>
    </w:p>
    <w:p w14:paraId="4FE99566" w14:textId="77777777" w:rsidR="00402D2F" w:rsidRDefault="00402D2F" w:rsidP="00D05734">
      <w:pPr>
        <w:pStyle w:val="TAMainText"/>
        <w:ind w:firstLine="0"/>
        <w:rPr>
          <w:b/>
          <w:sz w:val="18"/>
          <w:szCs w:val="18"/>
        </w:rPr>
      </w:pPr>
    </w:p>
    <w:p w14:paraId="4B29A145" w14:textId="16F37263" w:rsidR="004E368C" w:rsidRDefault="00152ADB" w:rsidP="00D05734">
      <w:pPr>
        <w:pStyle w:val="TAMainText"/>
        <w:ind w:firstLine="0"/>
        <w:rPr>
          <w:sz w:val="18"/>
          <w:szCs w:val="18"/>
        </w:rPr>
      </w:pPr>
      <w:r>
        <w:rPr>
          <w:b/>
          <w:sz w:val="18"/>
          <w:szCs w:val="18"/>
        </w:rPr>
        <w:t>Scheme 6</w:t>
      </w:r>
      <w:r w:rsidR="004E368C">
        <w:rPr>
          <w:b/>
          <w:sz w:val="18"/>
          <w:szCs w:val="18"/>
        </w:rPr>
        <w:t xml:space="preserve">. </w:t>
      </w:r>
      <w:r w:rsidR="004E368C">
        <w:rPr>
          <w:sz w:val="18"/>
          <w:szCs w:val="18"/>
        </w:rPr>
        <w:t>Mechanism of Michael Addition</w:t>
      </w:r>
    </w:p>
    <w:p w14:paraId="61CF3477" w14:textId="20B9C28B" w:rsidR="00146CDD" w:rsidRDefault="00146CDD" w:rsidP="00D05734">
      <w:pPr>
        <w:pStyle w:val="TAMainText"/>
        <w:ind w:firstLine="0"/>
        <w:rPr>
          <w:noProof/>
          <w:sz w:val="18"/>
          <w:szCs w:val="18"/>
        </w:rPr>
      </w:pPr>
    </w:p>
    <w:p w14:paraId="7AE031E5" w14:textId="11690C64" w:rsidR="00853DE8" w:rsidRDefault="00DB20E6" w:rsidP="00D05734">
      <w:pPr>
        <w:pStyle w:val="TAMainText"/>
        <w:ind w:firstLine="0"/>
        <w:rPr>
          <w:sz w:val="18"/>
          <w:szCs w:val="18"/>
        </w:rPr>
      </w:pPr>
      <w:r>
        <w:rPr>
          <w:noProof/>
          <w:sz w:val="18"/>
          <w:szCs w:val="18"/>
        </w:rPr>
        <w:drawing>
          <wp:anchor distT="0" distB="0" distL="114300" distR="114300" simplePos="0" relativeHeight="251700224" behindDoc="0" locked="0" layoutInCell="1" allowOverlap="1" wp14:anchorId="46E87096" wp14:editId="060D0D28">
            <wp:simplePos x="0" y="0"/>
            <wp:positionH relativeFrom="column">
              <wp:posOffset>279400</wp:posOffset>
            </wp:positionH>
            <wp:positionV relativeFrom="paragraph">
              <wp:posOffset>60960</wp:posOffset>
            </wp:positionV>
            <wp:extent cx="2374900" cy="2110740"/>
            <wp:effectExtent l="0" t="0" r="12700" b="0"/>
            <wp:wrapThrough wrapText="bothSides">
              <wp:wrapPolygon edited="0">
                <wp:start x="2541" y="0"/>
                <wp:lineTo x="231" y="1300"/>
                <wp:lineTo x="231" y="2859"/>
                <wp:lineTo x="1617" y="4159"/>
                <wp:lineTo x="1617" y="6498"/>
                <wp:lineTo x="7855" y="8318"/>
                <wp:lineTo x="15247" y="8318"/>
                <wp:lineTo x="3696" y="10917"/>
                <wp:lineTo x="0" y="11957"/>
                <wp:lineTo x="0" y="14296"/>
                <wp:lineTo x="1386" y="16635"/>
                <wp:lineTo x="2541" y="16635"/>
                <wp:lineTo x="2541" y="19495"/>
                <wp:lineTo x="6699" y="20794"/>
                <wp:lineTo x="18712" y="21314"/>
                <wp:lineTo x="20791" y="21314"/>
                <wp:lineTo x="21022" y="20794"/>
                <wp:lineTo x="18019" y="16635"/>
                <wp:lineTo x="17788" y="13776"/>
                <wp:lineTo x="16402" y="12477"/>
                <wp:lineTo x="16402" y="8318"/>
                <wp:lineTo x="18943" y="7278"/>
                <wp:lineTo x="20560" y="5458"/>
                <wp:lineTo x="19867" y="4159"/>
                <wp:lineTo x="21484" y="1300"/>
                <wp:lineTo x="21022" y="0"/>
                <wp:lineTo x="4389" y="0"/>
                <wp:lineTo x="2541" y="0"/>
              </wp:wrapPolygon>
            </wp:wrapThrough>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0" cy="211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C9FF5" w14:textId="0A57A46C" w:rsidR="00146CDD" w:rsidRPr="004E368C" w:rsidRDefault="00146CDD" w:rsidP="00D05734">
      <w:pPr>
        <w:pStyle w:val="TAMainText"/>
        <w:ind w:firstLine="0"/>
        <w:rPr>
          <w:sz w:val="18"/>
          <w:szCs w:val="18"/>
        </w:rPr>
      </w:pPr>
    </w:p>
    <w:p w14:paraId="0BCB2E9D" w14:textId="66D8BA8A" w:rsidR="003500AF" w:rsidRDefault="003500AF" w:rsidP="00D05734">
      <w:pPr>
        <w:spacing w:after="0"/>
        <w:jc w:val="both"/>
        <w:rPr>
          <w:rFonts w:ascii="Times New Roman" w:hAnsi="Times New Roman"/>
        </w:rPr>
      </w:pPr>
    </w:p>
    <w:p w14:paraId="1628CE79" w14:textId="02446AF9" w:rsidR="00816123" w:rsidRDefault="00816123" w:rsidP="00D05734">
      <w:pPr>
        <w:spacing w:after="0"/>
        <w:jc w:val="both"/>
        <w:rPr>
          <w:rFonts w:ascii="Times New Roman" w:hAnsi="Times New Roman"/>
        </w:rPr>
      </w:pPr>
    </w:p>
    <w:p w14:paraId="3685C2F6" w14:textId="77777777" w:rsidR="00816123" w:rsidRDefault="00816123" w:rsidP="00D05734">
      <w:pPr>
        <w:spacing w:after="0"/>
        <w:jc w:val="both"/>
        <w:rPr>
          <w:rFonts w:ascii="Times New Roman" w:hAnsi="Times New Roman"/>
        </w:rPr>
      </w:pPr>
    </w:p>
    <w:p w14:paraId="44952A63" w14:textId="77777777" w:rsidR="00816123" w:rsidRDefault="00816123" w:rsidP="00D05734">
      <w:pPr>
        <w:spacing w:after="0"/>
        <w:jc w:val="both"/>
        <w:rPr>
          <w:rFonts w:ascii="Times New Roman" w:hAnsi="Times New Roman"/>
        </w:rPr>
      </w:pPr>
    </w:p>
    <w:p w14:paraId="2987FBB2" w14:textId="77777777" w:rsidR="00816123" w:rsidRDefault="00816123" w:rsidP="00D05734">
      <w:pPr>
        <w:spacing w:after="0"/>
        <w:jc w:val="both"/>
        <w:rPr>
          <w:rFonts w:ascii="Times New Roman" w:hAnsi="Times New Roman"/>
        </w:rPr>
      </w:pPr>
    </w:p>
    <w:p w14:paraId="60CFAC6F" w14:textId="77777777" w:rsidR="00816123" w:rsidRDefault="00816123" w:rsidP="00D05734">
      <w:pPr>
        <w:spacing w:after="0"/>
        <w:jc w:val="both"/>
        <w:rPr>
          <w:rFonts w:ascii="Times New Roman" w:hAnsi="Times New Roman"/>
        </w:rPr>
      </w:pPr>
    </w:p>
    <w:p w14:paraId="1A171730" w14:textId="3A6A33A6" w:rsidR="00816123" w:rsidRDefault="00816123" w:rsidP="00D05734">
      <w:pPr>
        <w:spacing w:after="0"/>
        <w:jc w:val="both"/>
        <w:rPr>
          <w:rFonts w:ascii="Times New Roman" w:hAnsi="Times New Roman"/>
        </w:rPr>
      </w:pPr>
    </w:p>
    <w:p w14:paraId="2FC9AC03" w14:textId="77777777" w:rsidR="00083485" w:rsidRDefault="00083485" w:rsidP="00D05734">
      <w:pPr>
        <w:spacing w:after="0"/>
        <w:jc w:val="both"/>
        <w:rPr>
          <w:rFonts w:ascii="Times New Roman" w:hAnsi="Times New Roman"/>
          <w:b/>
          <w:sz w:val="19"/>
          <w:szCs w:val="19"/>
        </w:rPr>
      </w:pPr>
    </w:p>
    <w:p w14:paraId="7E681D36" w14:textId="77777777" w:rsidR="00083485" w:rsidRDefault="00083485" w:rsidP="00D05734">
      <w:pPr>
        <w:spacing w:after="0"/>
        <w:jc w:val="both"/>
        <w:rPr>
          <w:rFonts w:ascii="Times New Roman" w:hAnsi="Times New Roman"/>
          <w:b/>
          <w:sz w:val="19"/>
          <w:szCs w:val="19"/>
        </w:rPr>
      </w:pPr>
    </w:p>
    <w:p w14:paraId="7B72747A" w14:textId="77777777" w:rsidR="002B5588" w:rsidRDefault="002B5588" w:rsidP="00D05734">
      <w:pPr>
        <w:spacing w:after="0"/>
        <w:jc w:val="both"/>
        <w:rPr>
          <w:rFonts w:ascii="Times New Roman" w:hAnsi="Times New Roman"/>
          <w:b/>
          <w:sz w:val="19"/>
          <w:szCs w:val="19"/>
        </w:rPr>
      </w:pPr>
    </w:p>
    <w:p w14:paraId="70EB7536" w14:textId="77777777" w:rsidR="002B5588" w:rsidRDefault="002B5588" w:rsidP="00D05734">
      <w:pPr>
        <w:spacing w:after="0"/>
        <w:jc w:val="both"/>
        <w:rPr>
          <w:rFonts w:ascii="Times New Roman" w:hAnsi="Times New Roman"/>
          <w:b/>
          <w:sz w:val="19"/>
          <w:szCs w:val="19"/>
        </w:rPr>
      </w:pPr>
    </w:p>
    <w:p w14:paraId="13FC936D" w14:textId="77777777" w:rsidR="002B5588" w:rsidRDefault="002B5588" w:rsidP="00D05734">
      <w:pPr>
        <w:spacing w:after="0"/>
        <w:jc w:val="both"/>
        <w:rPr>
          <w:rFonts w:ascii="Times New Roman" w:hAnsi="Times New Roman"/>
          <w:b/>
          <w:sz w:val="19"/>
          <w:szCs w:val="19"/>
        </w:rPr>
      </w:pPr>
    </w:p>
    <w:p w14:paraId="20E5FFCE" w14:textId="5555CFF4" w:rsidR="003610FE" w:rsidRDefault="003610FE" w:rsidP="00D05734">
      <w:pPr>
        <w:spacing w:after="0"/>
        <w:jc w:val="both"/>
        <w:rPr>
          <w:rFonts w:ascii="Times New Roman" w:hAnsi="Times New Roman"/>
          <w:b/>
          <w:sz w:val="19"/>
          <w:szCs w:val="19"/>
        </w:rPr>
      </w:pPr>
      <w:r w:rsidRPr="003610FE">
        <w:rPr>
          <w:rFonts w:ascii="Times New Roman" w:hAnsi="Times New Roman"/>
          <w:b/>
          <w:sz w:val="19"/>
          <w:szCs w:val="19"/>
        </w:rPr>
        <w:t xml:space="preserve">Application </w:t>
      </w:r>
      <w:r>
        <w:rPr>
          <w:rFonts w:ascii="Times New Roman" w:hAnsi="Times New Roman"/>
          <w:b/>
          <w:sz w:val="19"/>
          <w:szCs w:val="19"/>
        </w:rPr>
        <w:t>of Michael Addition</w:t>
      </w:r>
    </w:p>
    <w:p w14:paraId="29912ED2" w14:textId="0F5C2A13" w:rsidR="008C57E1" w:rsidRPr="00B11A04" w:rsidRDefault="000B3D11" w:rsidP="00E607FE">
      <w:pPr>
        <w:spacing w:before="225" w:after="120" w:line="240" w:lineRule="auto"/>
        <w:ind w:firstLine="180"/>
        <w:jc w:val="both"/>
        <w:outlineLvl w:val="0"/>
        <w:rPr>
          <w:rFonts w:ascii="Times New Roman" w:eastAsia="Times New Roman" w:hAnsi="Times New Roman"/>
          <w:bCs/>
          <w:color w:val="000000"/>
          <w:kern w:val="36"/>
          <w:sz w:val="19"/>
          <w:szCs w:val="19"/>
        </w:rPr>
      </w:pPr>
      <w:r>
        <w:rPr>
          <w:rFonts w:ascii="Times New Roman" w:eastAsia="Times New Roman" w:hAnsi="Times New Roman"/>
          <w:bCs/>
          <w:color w:val="000000"/>
          <w:kern w:val="36"/>
          <w:sz w:val="19"/>
          <w:szCs w:val="19"/>
        </w:rPr>
        <w:t xml:space="preserve">It has been evident that additions of Michael acceptors and </w:t>
      </w:r>
      <w:r w:rsidR="00344C50">
        <w:rPr>
          <w:rFonts w:ascii="Times New Roman" w:eastAsia="Times New Roman" w:hAnsi="Times New Roman"/>
          <w:bCs/>
          <w:color w:val="000000"/>
          <w:kern w:val="36"/>
          <w:sz w:val="19"/>
          <w:szCs w:val="19"/>
        </w:rPr>
        <w:t>nitroalkenes</w:t>
      </w:r>
      <w:r>
        <w:rPr>
          <w:rFonts w:ascii="Times New Roman" w:eastAsia="Times New Roman" w:hAnsi="Times New Roman"/>
          <w:bCs/>
          <w:color w:val="000000"/>
          <w:kern w:val="36"/>
          <w:sz w:val="19"/>
          <w:szCs w:val="19"/>
        </w:rPr>
        <w:t xml:space="preserve"> have been very cumbersome and incredibly difficult to master. Reasons include that Michael addition provides up to three adjacent stereogenic centers </w:t>
      </w:r>
      <w:r w:rsidR="00344C50">
        <w:rPr>
          <w:rFonts w:ascii="Times New Roman" w:eastAsia="Times New Roman" w:hAnsi="Times New Roman"/>
          <w:bCs/>
          <w:color w:val="000000"/>
          <w:kern w:val="36"/>
          <w:sz w:val="19"/>
          <w:szCs w:val="19"/>
        </w:rPr>
        <w:t xml:space="preserve">and the value of the nitro group as a precursor for further functionalization. With the assistance of an organocatalyst with a hydrogen-bond donor at the </w:t>
      </w:r>
      <w:r w:rsidR="00344C50">
        <w:rPr>
          <w:rFonts w:ascii="Times New Roman" w:eastAsia="Times New Roman" w:hAnsi="Times New Roman"/>
          <w:bCs/>
          <w:color w:val="000000"/>
          <w:kern w:val="36"/>
          <w:sz w:val="19"/>
          <w:szCs w:val="19"/>
          <w:lang w:val="el-GR"/>
        </w:rPr>
        <w:t>α</w:t>
      </w:r>
      <w:r w:rsidR="00344C50">
        <w:rPr>
          <w:rFonts w:ascii="Times New Roman" w:eastAsia="Times New Roman" w:hAnsi="Times New Roman"/>
          <w:bCs/>
          <w:color w:val="000000"/>
          <w:kern w:val="36"/>
          <w:sz w:val="19"/>
          <w:szCs w:val="19"/>
        </w:rPr>
        <w:t>-position to the pyrrolidine nitrogen atom, Scheme 7 was made possible.</w:t>
      </w:r>
      <w:r w:rsidR="00A03DCF">
        <w:rPr>
          <w:rFonts w:ascii="Times New Roman" w:eastAsia="Times New Roman" w:hAnsi="Times New Roman"/>
          <w:bCs/>
          <w:color w:val="000000"/>
          <w:kern w:val="36"/>
          <w:sz w:val="19"/>
          <w:szCs w:val="19"/>
          <w:vertAlign w:val="superscript"/>
        </w:rPr>
        <w:t>6</w:t>
      </w:r>
      <w:r w:rsidR="00601A50">
        <w:rPr>
          <w:rFonts w:ascii="Times New Roman" w:eastAsia="Times New Roman" w:hAnsi="Times New Roman"/>
          <w:bCs/>
          <w:color w:val="000000"/>
          <w:kern w:val="36"/>
          <w:sz w:val="19"/>
          <w:szCs w:val="19"/>
        </w:rPr>
        <w:t xml:space="preserve"> </w:t>
      </w:r>
      <w:r w:rsidR="007E78F0">
        <w:rPr>
          <w:rFonts w:ascii="Times New Roman" w:eastAsia="Times New Roman" w:hAnsi="Times New Roman"/>
          <w:bCs/>
          <w:color w:val="000000"/>
          <w:kern w:val="36"/>
          <w:sz w:val="19"/>
          <w:szCs w:val="19"/>
        </w:rPr>
        <w:t xml:space="preserve">Furthermore, it shows how vital </w:t>
      </w:r>
      <w:r w:rsidR="00A96640">
        <w:rPr>
          <w:rFonts w:ascii="Times New Roman" w:eastAsia="Times New Roman" w:hAnsi="Times New Roman"/>
          <w:bCs/>
          <w:color w:val="000000"/>
          <w:kern w:val="36"/>
          <w:sz w:val="19"/>
          <w:szCs w:val="19"/>
        </w:rPr>
        <w:t>diastereo</w:t>
      </w:r>
      <w:r w:rsidR="007E78F0">
        <w:rPr>
          <w:rFonts w:ascii="Times New Roman" w:eastAsia="Times New Roman" w:hAnsi="Times New Roman"/>
          <w:bCs/>
          <w:color w:val="000000"/>
          <w:kern w:val="36"/>
          <w:sz w:val="19"/>
          <w:szCs w:val="19"/>
        </w:rPr>
        <w:t xml:space="preserve">- and </w:t>
      </w:r>
      <w:r w:rsidR="00A96640">
        <w:rPr>
          <w:rFonts w:ascii="Times New Roman" w:eastAsia="Times New Roman" w:hAnsi="Times New Roman"/>
          <w:bCs/>
          <w:color w:val="000000"/>
          <w:kern w:val="36"/>
          <w:sz w:val="19"/>
          <w:szCs w:val="19"/>
        </w:rPr>
        <w:t>enantiocontrol truly is.</w:t>
      </w:r>
    </w:p>
    <w:p w14:paraId="0083C13B" w14:textId="2B395092" w:rsidR="000B3D11" w:rsidRDefault="00344C50" w:rsidP="00D05734">
      <w:pPr>
        <w:spacing w:before="225" w:after="120" w:line="240" w:lineRule="auto"/>
        <w:jc w:val="both"/>
        <w:outlineLvl w:val="0"/>
        <w:rPr>
          <w:rFonts w:ascii="Times New Roman" w:eastAsia="Times New Roman" w:hAnsi="Times New Roman"/>
          <w:bCs/>
          <w:color w:val="000000"/>
          <w:kern w:val="36"/>
          <w:sz w:val="18"/>
          <w:szCs w:val="18"/>
        </w:rPr>
      </w:pPr>
      <w:r>
        <w:rPr>
          <w:rFonts w:ascii="Times New Roman" w:eastAsia="Times New Roman" w:hAnsi="Times New Roman"/>
          <w:b/>
          <w:bCs/>
          <w:color w:val="000000"/>
          <w:kern w:val="36"/>
          <w:sz w:val="18"/>
          <w:szCs w:val="18"/>
        </w:rPr>
        <w:lastRenderedPageBreak/>
        <w:t>Scheme 7.</w:t>
      </w:r>
      <w:r w:rsidR="004E416A">
        <w:rPr>
          <w:rFonts w:ascii="Times New Roman" w:eastAsia="Times New Roman" w:hAnsi="Times New Roman"/>
          <w:bCs/>
          <w:color w:val="000000"/>
          <w:kern w:val="36"/>
          <w:sz w:val="18"/>
          <w:szCs w:val="18"/>
        </w:rPr>
        <w:t xml:space="preserve"> Generalized Michael Addition of nitroalkene</w:t>
      </w:r>
      <w:r>
        <w:rPr>
          <w:rFonts w:ascii="Times New Roman" w:eastAsia="Times New Roman" w:hAnsi="Times New Roman"/>
          <w:bCs/>
          <w:color w:val="000000"/>
          <w:kern w:val="36"/>
          <w:sz w:val="18"/>
          <w:szCs w:val="18"/>
        </w:rPr>
        <w:t>.</w:t>
      </w:r>
    </w:p>
    <w:p w14:paraId="66D58362" w14:textId="50D4B320" w:rsidR="00344C50" w:rsidRDefault="00A97211" w:rsidP="00D05734">
      <w:pPr>
        <w:spacing w:before="225" w:after="120" w:line="240" w:lineRule="auto"/>
        <w:jc w:val="both"/>
        <w:outlineLvl w:val="0"/>
        <w:rPr>
          <w:rFonts w:ascii="Times New Roman" w:eastAsia="Times New Roman" w:hAnsi="Times New Roman"/>
          <w:bCs/>
          <w:color w:val="000000"/>
          <w:kern w:val="36"/>
          <w:sz w:val="19"/>
          <w:szCs w:val="19"/>
        </w:rPr>
      </w:pPr>
      <w:r>
        <w:rPr>
          <w:bCs/>
          <w:noProof/>
          <w:color w:val="000000"/>
          <w:kern w:val="36"/>
          <w:szCs w:val="19"/>
        </w:rPr>
        <w:drawing>
          <wp:anchor distT="0" distB="0" distL="114300" distR="114300" simplePos="0" relativeHeight="251689984" behindDoc="0" locked="0" layoutInCell="1" allowOverlap="1" wp14:anchorId="23813841" wp14:editId="0AE8B469">
            <wp:simplePos x="0" y="0"/>
            <wp:positionH relativeFrom="column">
              <wp:posOffset>44450</wp:posOffset>
            </wp:positionH>
            <wp:positionV relativeFrom="paragraph">
              <wp:posOffset>57785</wp:posOffset>
            </wp:positionV>
            <wp:extent cx="3270250" cy="1515110"/>
            <wp:effectExtent l="0" t="0" r="6350" b="8890"/>
            <wp:wrapThrough wrapText="bothSides">
              <wp:wrapPolygon edited="0">
                <wp:start x="2013" y="0"/>
                <wp:lineTo x="0" y="1448"/>
                <wp:lineTo x="0" y="3621"/>
                <wp:lineTo x="8221" y="5794"/>
                <wp:lineTo x="8221" y="6156"/>
                <wp:lineTo x="10905" y="11588"/>
                <wp:lineTo x="11073" y="18106"/>
                <wp:lineTo x="12583" y="21003"/>
                <wp:lineTo x="12918" y="21365"/>
                <wp:lineTo x="14428" y="21365"/>
                <wp:lineTo x="15770" y="17381"/>
                <wp:lineTo x="15435" y="11588"/>
                <wp:lineTo x="18119" y="5794"/>
                <wp:lineTo x="21474" y="3621"/>
                <wp:lineTo x="21474" y="2173"/>
                <wp:lineTo x="18958" y="0"/>
                <wp:lineTo x="2013" y="0"/>
              </wp:wrapPolygon>
            </wp:wrapThrough>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025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81EAE" w14:textId="77777777" w:rsidR="007E78F0" w:rsidRDefault="007E78F0" w:rsidP="00D05734">
      <w:pPr>
        <w:spacing w:before="225" w:after="120" w:line="240" w:lineRule="auto"/>
        <w:jc w:val="both"/>
        <w:outlineLvl w:val="0"/>
        <w:rPr>
          <w:rFonts w:ascii="Times New Roman" w:eastAsia="Times New Roman" w:hAnsi="Times New Roman"/>
          <w:bCs/>
          <w:color w:val="000000"/>
          <w:kern w:val="36"/>
          <w:sz w:val="19"/>
          <w:szCs w:val="19"/>
        </w:rPr>
      </w:pPr>
    </w:p>
    <w:p w14:paraId="4A2DC44A" w14:textId="77777777" w:rsidR="007E78F0" w:rsidRDefault="007E78F0" w:rsidP="00D05734">
      <w:pPr>
        <w:spacing w:before="225" w:after="120" w:line="240" w:lineRule="auto"/>
        <w:jc w:val="both"/>
        <w:outlineLvl w:val="0"/>
        <w:rPr>
          <w:rFonts w:ascii="Times New Roman" w:eastAsia="Times New Roman" w:hAnsi="Times New Roman"/>
          <w:bCs/>
          <w:color w:val="000000"/>
          <w:kern w:val="36"/>
          <w:sz w:val="19"/>
          <w:szCs w:val="19"/>
        </w:rPr>
      </w:pPr>
    </w:p>
    <w:p w14:paraId="58D024DF" w14:textId="77777777" w:rsidR="007E78F0" w:rsidRDefault="007E78F0" w:rsidP="00D05734">
      <w:pPr>
        <w:spacing w:before="225" w:after="120" w:line="240" w:lineRule="auto"/>
        <w:jc w:val="both"/>
        <w:outlineLvl w:val="0"/>
        <w:rPr>
          <w:rFonts w:ascii="Times New Roman" w:eastAsia="Times New Roman" w:hAnsi="Times New Roman"/>
          <w:bCs/>
          <w:color w:val="000000"/>
          <w:kern w:val="36"/>
          <w:sz w:val="19"/>
          <w:szCs w:val="19"/>
        </w:rPr>
      </w:pPr>
    </w:p>
    <w:p w14:paraId="58179B3B" w14:textId="692798BA" w:rsidR="003610FE" w:rsidRDefault="003610FE" w:rsidP="00D05734">
      <w:pPr>
        <w:spacing w:after="0"/>
        <w:jc w:val="both"/>
        <w:rPr>
          <w:rFonts w:ascii="Times New Roman" w:hAnsi="Times New Roman"/>
          <w:b/>
          <w:sz w:val="19"/>
          <w:szCs w:val="19"/>
        </w:rPr>
      </w:pPr>
      <w:r>
        <w:rPr>
          <w:rFonts w:ascii="Times New Roman" w:hAnsi="Times New Roman"/>
          <w:b/>
          <w:sz w:val="19"/>
          <w:szCs w:val="19"/>
        </w:rPr>
        <w:t>Aldol Condensation</w:t>
      </w:r>
    </w:p>
    <w:p w14:paraId="10847FC4" w14:textId="77777777" w:rsidR="003610FE" w:rsidRDefault="003610FE" w:rsidP="00D05734">
      <w:pPr>
        <w:spacing w:after="0"/>
        <w:ind w:firstLine="180"/>
        <w:jc w:val="both"/>
        <w:rPr>
          <w:rFonts w:ascii="Times New Roman" w:hAnsi="Times New Roman"/>
          <w:sz w:val="19"/>
          <w:szCs w:val="19"/>
        </w:rPr>
      </w:pPr>
    </w:p>
    <w:p w14:paraId="1F0FFF45" w14:textId="51EC3799" w:rsidR="000800C2" w:rsidRDefault="003610FE" w:rsidP="00D05734">
      <w:pPr>
        <w:spacing w:after="0"/>
        <w:ind w:firstLine="180"/>
        <w:jc w:val="both"/>
        <w:rPr>
          <w:rFonts w:ascii="Times New Roman" w:hAnsi="Times New Roman"/>
          <w:sz w:val="19"/>
          <w:szCs w:val="19"/>
        </w:rPr>
      </w:pPr>
      <w:r>
        <w:rPr>
          <w:rFonts w:ascii="Times New Roman" w:hAnsi="Times New Roman"/>
          <w:sz w:val="19"/>
          <w:szCs w:val="19"/>
        </w:rPr>
        <w:t xml:space="preserve">Aldol Condensation is an organic reaction in which an enolate ion </w:t>
      </w:r>
      <w:r w:rsidR="002B5588">
        <w:rPr>
          <w:rFonts w:ascii="Times New Roman" w:hAnsi="Times New Roman"/>
          <w:sz w:val="19"/>
          <w:szCs w:val="19"/>
        </w:rPr>
        <w:t xml:space="preserve">and a base </w:t>
      </w:r>
      <w:r w:rsidR="008E232B">
        <w:rPr>
          <w:rFonts w:ascii="Times New Roman" w:hAnsi="Times New Roman"/>
          <w:sz w:val="19"/>
          <w:szCs w:val="19"/>
        </w:rPr>
        <w:t>react</w:t>
      </w:r>
      <w:r>
        <w:rPr>
          <w:rFonts w:ascii="Times New Roman" w:hAnsi="Times New Roman"/>
          <w:sz w:val="19"/>
          <w:szCs w:val="19"/>
        </w:rPr>
        <w:t xml:space="preserve"> to a</w:t>
      </w:r>
      <w:r w:rsidR="00AB2C40">
        <w:rPr>
          <w:rFonts w:ascii="Times New Roman" w:hAnsi="Times New Roman"/>
          <w:sz w:val="19"/>
          <w:szCs w:val="19"/>
        </w:rPr>
        <w:t>n electrophilic</w:t>
      </w:r>
      <w:r>
        <w:rPr>
          <w:rFonts w:ascii="Times New Roman" w:hAnsi="Times New Roman"/>
          <w:sz w:val="19"/>
          <w:szCs w:val="19"/>
        </w:rPr>
        <w:t xml:space="preserve"> carbonyl</w:t>
      </w:r>
      <w:r w:rsidR="00D03F44">
        <w:rPr>
          <w:rFonts w:ascii="Times New Roman" w:hAnsi="Times New Roman"/>
          <w:sz w:val="19"/>
          <w:szCs w:val="19"/>
        </w:rPr>
        <w:t xml:space="preserve"> (Scheme 6</w:t>
      </w:r>
      <w:r w:rsidR="00417587">
        <w:rPr>
          <w:rFonts w:ascii="Times New Roman" w:hAnsi="Times New Roman"/>
          <w:sz w:val="19"/>
          <w:szCs w:val="19"/>
        </w:rPr>
        <w:t>)</w:t>
      </w:r>
      <w:r>
        <w:rPr>
          <w:rFonts w:ascii="Times New Roman" w:hAnsi="Times New Roman"/>
          <w:sz w:val="19"/>
          <w:szCs w:val="19"/>
        </w:rPr>
        <w:t xml:space="preserve">. </w:t>
      </w:r>
      <w:r>
        <w:rPr>
          <w:rFonts w:ascii="Times New Roman" w:hAnsi="Times New Roman"/>
          <w:i/>
          <w:sz w:val="19"/>
          <w:szCs w:val="19"/>
        </w:rPr>
        <w:t>Aldol</w:t>
      </w:r>
      <w:r w:rsidR="00417587">
        <w:rPr>
          <w:rFonts w:ascii="Times New Roman" w:hAnsi="Times New Roman"/>
          <w:i/>
          <w:sz w:val="19"/>
          <w:szCs w:val="19"/>
        </w:rPr>
        <w:t xml:space="preserve"> </w:t>
      </w:r>
      <w:r w:rsidR="00417587">
        <w:rPr>
          <w:rFonts w:ascii="Times New Roman" w:hAnsi="Times New Roman"/>
          <w:sz w:val="19"/>
          <w:szCs w:val="19"/>
        </w:rPr>
        <w:t xml:space="preserve">derives from </w:t>
      </w:r>
      <w:r w:rsidR="00853DE8">
        <w:rPr>
          <w:rFonts w:ascii="Times New Roman" w:hAnsi="Times New Roman"/>
          <w:sz w:val="19"/>
          <w:szCs w:val="19"/>
        </w:rPr>
        <w:t xml:space="preserve">combining the terms </w:t>
      </w:r>
      <w:r w:rsidR="00417587">
        <w:rPr>
          <w:rFonts w:ascii="Times New Roman" w:hAnsi="Times New Roman"/>
          <w:sz w:val="19"/>
          <w:szCs w:val="19"/>
        </w:rPr>
        <w:t>aldehyde and alcohol</w:t>
      </w:r>
      <w:r>
        <w:rPr>
          <w:rFonts w:ascii="Times New Roman" w:hAnsi="Times New Roman"/>
          <w:sz w:val="19"/>
          <w:szCs w:val="19"/>
        </w:rPr>
        <w:t xml:space="preserve">. This particular reaction has been renown for its contribution towards forming </w:t>
      </w:r>
      <w:r w:rsidR="00417587">
        <w:rPr>
          <w:rFonts w:ascii="Times New Roman" w:hAnsi="Times New Roman"/>
          <w:sz w:val="19"/>
          <w:szCs w:val="19"/>
        </w:rPr>
        <w:t>incredible</w:t>
      </w:r>
      <w:r>
        <w:rPr>
          <w:rFonts w:ascii="Times New Roman" w:hAnsi="Times New Roman"/>
          <w:sz w:val="19"/>
          <w:szCs w:val="19"/>
        </w:rPr>
        <w:t xml:space="preserve"> carbon-carbon</w:t>
      </w:r>
      <w:r w:rsidR="00417587">
        <w:rPr>
          <w:rFonts w:ascii="Times New Roman" w:hAnsi="Times New Roman"/>
          <w:sz w:val="19"/>
          <w:szCs w:val="19"/>
        </w:rPr>
        <w:t xml:space="preserve"> bond</w:t>
      </w:r>
      <w:r>
        <w:rPr>
          <w:rFonts w:ascii="Times New Roman" w:hAnsi="Times New Roman"/>
          <w:sz w:val="19"/>
          <w:szCs w:val="19"/>
        </w:rPr>
        <w:t xml:space="preserve"> products. </w:t>
      </w:r>
      <w:r w:rsidR="00145AE3">
        <w:rPr>
          <w:rFonts w:ascii="Times New Roman" w:hAnsi="Times New Roman"/>
          <w:sz w:val="19"/>
          <w:szCs w:val="19"/>
        </w:rPr>
        <w:t xml:space="preserve">This </w:t>
      </w:r>
      <w:r w:rsidR="001F4063">
        <w:rPr>
          <w:rFonts w:ascii="Times New Roman" w:hAnsi="Times New Roman"/>
          <w:sz w:val="19"/>
          <w:szCs w:val="19"/>
        </w:rPr>
        <w:t>protocol</w:t>
      </w:r>
      <w:r w:rsidR="00145AE3">
        <w:rPr>
          <w:rFonts w:ascii="Times New Roman" w:hAnsi="Times New Roman"/>
          <w:sz w:val="19"/>
          <w:szCs w:val="19"/>
        </w:rPr>
        <w:t xml:space="preserve"> calls for </w:t>
      </w:r>
      <w:r w:rsidR="002B5588">
        <w:rPr>
          <w:rFonts w:ascii="Times New Roman" w:hAnsi="Times New Roman"/>
          <w:sz w:val="19"/>
          <w:szCs w:val="19"/>
        </w:rPr>
        <w:t>bases</w:t>
      </w:r>
      <w:r w:rsidR="00145AE3">
        <w:rPr>
          <w:rFonts w:ascii="Times New Roman" w:hAnsi="Times New Roman"/>
          <w:sz w:val="19"/>
          <w:szCs w:val="19"/>
        </w:rPr>
        <w:t xml:space="preserve"> such as </w:t>
      </w:r>
      <w:r w:rsidR="001F4063">
        <w:rPr>
          <w:rFonts w:ascii="Times New Roman" w:hAnsi="Times New Roman"/>
          <w:sz w:val="19"/>
          <w:szCs w:val="19"/>
        </w:rPr>
        <w:t>sodium ethoxide</w:t>
      </w:r>
      <w:r w:rsidR="00417587">
        <w:rPr>
          <w:rFonts w:ascii="Times New Roman" w:hAnsi="Times New Roman"/>
          <w:sz w:val="19"/>
          <w:szCs w:val="19"/>
        </w:rPr>
        <w:t xml:space="preserve">; however, </w:t>
      </w:r>
      <w:r w:rsidR="00145AE3">
        <w:rPr>
          <w:rFonts w:ascii="Times New Roman" w:hAnsi="Times New Roman"/>
          <w:sz w:val="19"/>
          <w:szCs w:val="19"/>
        </w:rPr>
        <w:t>aci</w:t>
      </w:r>
      <w:r w:rsidR="002B5588">
        <w:rPr>
          <w:rFonts w:ascii="Times New Roman" w:hAnsi="Times New Roman"/>
          <w:sz w:val="19"/>
          <w:szCs w:val="19"/>
        </w:rPr>
        <w:t>ds</w:t>
      </w:r>
      <w:r w:rsidR="00145AE3">
        <w:rPr>
          <w:rFonts w:ascii="Times New Roman" w:hAnsi="Times New Roman"/>
          <w:sz w:val="19"/>
          <w:szCs w:val="19"/>
        </w:rPr>
        <w:t xml:space="preserve"> have also been used to create aldols. The reaction begins with </w:t>
      </w:r>
      <w:r w:rsidR="00AB2C40">
        <w:rPr>
          <w:rFonts w:ascii="Times New Roman" w:hAnsi="Times New Roman"/>
          <w:sz w:val="19"/>
          <w:szCs w:val="19"/>
        </w:rPr>
        <w:t>the base</w:t>
      </w:r>
      <w:r w:rsidR="00152ADB">
        <w:rPr>
          <w:rFonts w:ascii="Times New Roman" w:hAnsi="Times New Roman"/>
          <w:sz w:val="19"/>
          <w:szCs w:val="19"/>
        </w:rPr>
        <w:t xml:space="preserve"> </w:t>
      </w:r>
      <w:r w:rsidR="00145AE3">
        <w:rPr>
          <w:rFonts w:ascii="Times New Roman" w:hAnsi="Times New Roman"/>
          <w:sz w:val="19"/>
          <w:szCs w:val="19"/>
        </w:rPr>
        <w:t>deprotonating t</w:t>
      </w:r>
      <w:r w:rsidR="00872FF0">
        <w:rPr>
          <w:rFonts w:ascii="Times New Roman" w:hAnsi="Times New Roman"/>
          <w:sz w:val="19"/>
          <w:szCs w:val="19"/>
        </w:rPr>
        <w:t xml:space="preserve">he </w:t>
      </w:r>
      <w:r w:rsidR="00872FF0" w:rsidRPr="002B5588">
        <w:rPr>
          <w:rFonts w:ascii="Times New Roman" w:hAnsi="Times New Roman"/>
          <w:i/>
          <w:sz w:val="19"/>
          <w:szCs w:val="19"/>
        </w:rPr>
        <w:t>alpha</w:t>
      </w:r>
      <w:r w:rsidR="00872FF0">
        <w:rPr>
          <w:rFonts w:ascii="Times New Roman" w:hAnsi="Times New Roman"/>
          <w:sz w:val="19"/>
          <w:szCs w:val="19"/>
        </w:rPr>
        <w:t xml:space="preserve"> carbon of the aldehyde to form an </w:t>
      </w:r>
      <w:r w:rsidR="008C57E1">
        <w:rPr>
          <w:rFonts w:ascii="Times New Roman" w:hAnsi="Times New Roman"/>
          <w:sz w:val="19"/>
          <w:szCs w:val="19"/>
        </w:rPr>
        <w:t>enolate (</w:t>
      </w:r>
      <w:r w:rsidR="0075216A">
        <w:rPr>
          <w:rFonts w:ascii="Times New Roman" w:hAnsi="Times New Roman"/>
          <w:b/>
          <w:sz w:val="19"/>
          <w:szCs w:val="19"/>
        </w:rPr>
        <w:t>K</w:t>
      </w:r>
      <w:r w:rsidR="008C57E1">
        <w:rPr>
          <w:rFonts w:ascii="Times New Roman" w:hAnsi="Times New Roman"/>
          <w:sz w:val="19"/>
          <w:szCs w:val="19"/>
        </w:rPr>
        <w:t>)</w:t>
      </w:r>
      <w:r w:rsidR="00872FF0">
        <w:rPr>
          <w:rFonts w:ascii="Times New Roman" w:hAnsi="Times New Roman"/>
          <w:sz w:val="19"/>
          <w:szCs w:val="19"/>
        </w:rPr>
        <w:t>.</w:t>
      </w:r>
      <w:r w:rsidR="00C75A94">
        <w:rPr>
          <w:rFonts w:ascii="Times New Roman" w:hAnsi="Times New Roman"/>
          <w:sz w:val="19"/>
          <w:szCs w:val="19"/>
        </w:rPr>
        <w:t xml:space="preserve"> </w:t>
      </w:r>
      <w:r w:rsidR="00417587">
        <w:rPr>
          <w:rFonts w:ascii="Times New Roman" w:hAnsi="Times New Roman"/>
          <w:sz w:val="19"/>
          <w:szCs w:val="19"/>
        </w:rPr>
        <w:t xml:space="preserve">Next, the </w:t>
      </w:r>
      <w:r w:rsidR="00D85392">
        <w:rPr>
          <w:rFonts w:ascii="Times New Roman" w:hAnsi="Times New Roman"/>
          <w:sz w:val="19"/>
          <w:szCs w:val="19"/>
        </w:rPr>
        <w:t xml:space="preserve">nucleophilic attack </w:t>
      </w:r>
      <w:r w:rsidR="00417587">
        <w:rPr>
          <w:rFonts w:ascii="Times New Roman" w:hAnsi="Times New Roman"/>
          <w:sz w:val="19"/>
          <w:szCs w:val="19"/>
        </w:rPr>
        <w:t xml:space="preserve">of the enolate ion </w:t>
      </w:r>
      <w:r w:rsidR="00D85392">
        <w:rPr>
          <w:rFonts w:ascii="Times New Roman" w:hAnsi="Times New Roman"/>
          <w:sz w:val="19"/>
          <w:szCs w:val="19"/>
        </w:rPr>
        <w:t>on</w:t>
      </w:r>
      <w:r w:rsidR="00417587">
        <w:rPr>
          <w:rFonts w:ascii="Times New Roman" w:hAnsi="Times New Roman"/>
          <w:sz w:val="19"/>
          <w:szCs w:val="19"/>
        </w:rPr>
        <w:t xml:space="preserve"> an electrophilic carbonyl</w:t>
      </w:r>
      <w:r w:rsidR="008C57E1">
        <w:rPr>
          <w:rFonts w:ascii="Times New Roman" w:hAnsi="Times New Roman"/>
          <w:sz w:val="19"/>
          <w:szCs w:val="19"/>
        </w:rPr>
        <w:t xml:space="preserve"> (</w:t>
      </w:r>
      <w:r w:rsidR="0075216A">
        <w:rPr>
          <w:rFonts w:ascii="Times New Roman" w:hAnsi="Times New Roman"/>
          <w:b/>
          <w:sz w:val="19"/>
          <w:szCs w:val="19"/>
        </w:rPr>
        <w:t>L</w:t>
      </w:r>
      <w:r w:rsidR="008C57E1">
        <w:rPr>
          <w:rFonts w:ascii="Times New Roman" w:hAnsi="Times New Roman"/>
          <w:sz w:val="19"/>
          <w:szCs w:val="19"/>
        </w:rPr>
        <w:t>)</w:t>
      </w:r>
      <w:r w:rsidR="00417587">
        <w:rPr>
          <w:rFonts w:ascii="Times New Roman" w:hAnsi="Times New Roman"/>
          <w:sz w:val="19"/>
          <w:szCs w:val="19"/>
        </w:rPr>
        <w:t xml:space="preserve"> will form</w:t>
      </w:r>
      <w:r w:rsidR="00AB2C40">
        <w:rPr>
          <w:rFonts w:ascii="Times New Roman" w:hAnsi="Times New Roman"/>
          <w:sz w:val="19"/>
          <w:szCs w:val="19"/>
        </w:rPr>
        <w:t xml:space="preserve"> an</w:t>
      </w:r>
      <w:r w:rsidR="00D85392">
        <w:rPr>
          <w:rFonts w:ascii="Times New Roman" w:hAnsi="Times New Roman"/>
          <w:sz w:val="19"/>
          <w:szCs w:val="19"/>
        </w:rPr>
        <w:t xml:space="preserve"> </w:t>
      </w:r>
      <w:r w:rsidR="00AB2C40">
        <w:rPr>
          <w:rFonts w:ascii="Times New Roman" w:hAnsi="Times New Roman"/>
          <w:sz w:val="19"/>
          <w:szCs w:val="19"/>
        </w:rPr>
        <w:t>intermediate</w:t>
      </w:r>
      <w:r w:rsidR="00417587">
        <w:rPr>
          <w:rFonts w:ascii="Times New Roman" w:hAnsi="Times New Roman"/>
          <w:sz w:val="19"/>
          <w:szCs w:val="19"/>
        </w:rPr>
        <w:t xml:space="preserve"> alcohol</w:t>
      </w:r>
      <w:r w:rsidR="008C57E1">
        <w:rPr>
          <w:rFonts w:ascii="Times New Roman" w:hAnsi="Times New Roman"/>
          <w:sz w:val="19"/>
          <w:szCs w:val="19"/>
        </w:rPr>
        <w:t xml:space="preserve"> (</w:t>
      </w:r>
      <w:r w:rsidR="0075216A">
        <w:rPr>
          <w:rFonts w:ascii="Times New Roman" w:hAnsi="Times New Roman"/>
          <w:b/>
          <w:sz w:val="19"/>
          <w:szCs w:val="19"/>
        </w:rPr>
        <w:t>M</w:t>
      </w:r>
      <w:r w:rsidR="008C57E1">
        <w:rPr>
          <w:rFonts w:ascii="Times New Roman" w:hAnsi="Times New Roman"/>
          <w:sz w:val="19"/>
          <w:szCs w:val="19"/>
        </w:rPr>
        <w:t>)</w:t>
      </w:r>
      <w:r w:rsidR="00417587">
        <w:rPr>
          <w:rFonts w:ascii="Times New Roman" w:hAnsi="Times New Roman"/>
          <w:sz w:val="19"/>
          <w:szCs w:val="19"/>
        </w:rPr>
        <w:t>. To successfully complete the reaction, the compound undergoes condensation to eliminate the alc</w:t>
      </w:r>
      <w:r w:rsidR="00D03F44">
        <w:rPr>
          <w:rFonts w:ascii="Times New Roman" w:hAnsi="Times New Roman"/>
          <w:sz w:val="19"/>
          <w:szCs w:val="19"/>
        </w:rPr>
        <w:t>ohol to form the</w:t>
      </w:r>
      <w:r w:rsidR="002B5588">
        <w:rPr>
          <w:rFonts w:ascii="Times New Roman" w:hAnsi="Times New Roman"/>
          <w:sz w:val="19"/>
          <w:szCs w:val="19"/>
        </w:rPr>
        <w:t xml:space="preserve"> finishing</w:t>
      </w:r>
      <w:r w:rsidR="00D03F44">
        <w:rPr>
          <w:rFonts w:ascii="Times New Roman" w:hAnsi="Times New Roman"/>
          <w:sz w:val="19"/>
          <w:szCs w:val="19"/>
        </w:rPr>
        <w:t xml:space="preserve"> aldol</w:t>
      </w:r>
      <w:r w:rsidR="002B5588">
        <w:rPr>
          <w:rFonts w:ascii="Times New Roman" w:hAnsi="Times New Roman"/>
          <w:sz w:val="19"/>
          <w:szCs w:val="19"/>
        </w:rPr>
        <w:t xml:space="preserve"> product</w:t>
      </w:r>
      <w:r w:rsidR="008C57E1">
        <w:rPr>
          <w:rFonts w:ascii="Times New Roman" w:hAnsi="Times New Roman"/>
          <w:sz w:val="19"/>
          <w:szCs w:val="19"/>
        </w:rPr>
        <w:t xml:space="preserve"> (</w:t>
      </w:r>
      <w:r w:rsidR="0075216A">
        <w:rPr>
          <w:rFonts w:ascii="Times New Roman" w:hAnsi="Times New Roman"/>
          <w:b/>
          <w:sz w:val="19"/>
          <w:szCs w:val="19"/>
        </w:rPr>
        <w:t>N</w:t>
      </w:r>
      <w:r w:rsidR="008C57E1">
        <w:rPr>
          <w:rFonts w:ascii="Times New Roman" w:hAnsi="Times New Roman"/>
          <w:sz w:val="19"/>
          <w:szCs w:val="19"/>
        </w:rPr>
        <w:t>)</w:t>
      </w:r>
      <w:r w:rsidR="00D03F44">
        <w:rPr>
          <w:rFonts w:ascii="Times New Roman" w:hAnsi="Times New Roman"/>
          <w:sz w:val="19"/>
          <w:szCs w:val="19"/>
        </w:rPr>
        <w:t xml:space="preserve"> (Scheme 7</w:t>
      </w:r>
      <w:r w:rsidR="00417587">
        <w:rPr>
          <w:rFonts w:ascii="Times New Roman" w:hAnsi="Times New Roman"/>
          <w:sz w:val="19"/>
          <w:szCs w:val="19"/>
        </w:rPr>
        <w:t xml:space="preserve">). </w:t>
      </w:r>
      <w:r w:rsidR="00152ADB">
        <w:rPr>
          <w:rFonts w:ascii="Times New Roman" w:hAnsi="Times New Roman"/>
          <w:sz w:val="19"/>
          <w:szCs w:val="19"/>
        </w:rPr>
        <w:t xml:space="preserve">Take note that aldol products are </w:t>
      </w:r>
      <w:r w:rsidR="0075216A" w:rsidRPr="0075216A">
        <w:rPr>
          <w:rFonts w:ascii="Times New Roman" w:hAnsi="Times New Roman"/>
          <w:sz w:val="19"/>
          <w:szCs w:val="19"/>
          <w:lang w:val="el-GR"/>
        </w:rPr>
        <w:t>α, β</w:t>
      </w:r>
      <w:r w:rsidR="0075216A" w:rsidRPr="0075216A">
        <w:rPr>
          <w:rFonts w:ascii="Times New Roman" w:hAnsi="Times New Roman"/>
          <w:sz w:val="19"/>
          <w:szCs w:val="19"/>
        </w:rPr>
        <w:t>-unsaturated</w:t>
      </w:r>
      <w:r w:rsidR="00152ADB">
        <w:rPr>
          <w:rFonts w:ascii="Times New Roman" w:hAnsi="Times New Roman"/>
          <w:sz w:val="19"/>
          <w:szCs w:val="19"/>
        </w:rPr>
        <w:t xml:space="preserve">, thus </w:t>
      </w:r>
      <w:r w:rsidR="002B5588">
        <w:rPr>
          <w:rFonts w:ascii="Times New Roman" w:hAnsi="Times New Roman"/>
          <w:sz w:val="19"/>
          <w:szCs w:val="19"/>
        </w:rPr>
        <w:t xml:space="preserve">also </w:t>
      </w:r>
      <w:r w:rsidR="00152ADB">
        <w:rPr>
          <w:rFonts w:ascii="Times New Roman" w:hAnsi="Times New Roman"/>
          <w:sz w:val="19"/>
          <w:szCs w:val="19"/>
        </w:rPr>
        <w:t>being Michael</w:t>
      </w:r>
      <w:r w:rsidR="00167EDD">
        <w:rPr>
          <w:rFonts w:ascii="Times New Roman" w:hAnsi="Times New Roman"/>
          <w:sz w:val="19"/>
          <w:szCs w:val="19"/>
        </w:rPr>
        <w:t xml:space="preserve"> acceptors for further synthetic investigation</w:t>
      </w:r>
      <w:r w:rsidR="00152ADB">
        <w:rPr>
          <w:rFonts w:ascii="Times New Roman" w:hAnsi="Times New Roman"/>
          <w:sz w:val="19"/>
          <w:szCs w:val="19"/>
        </w:rPr>
        <w:t xml:space="preserve">. </w:t>
      </w:r>
      <w:r w:rsidR="004E416A">
        <w:rPr>
          <w:rFonts w:ascii="Times New Roman" w:hAnsi="Times New Roman"/>
          <w:sz w:val="19"/>
          <w:szCs w:val="19"/>
        </w:rPr>
        <w:t xml:space="preserve">It is also important to note that if following the condensation step results in a dicarbonyl </w:t>
      </w:r>
      <w:r w:rsidR="002B5588">
        <w:rPr>
          <w:rFonts w:ascii="Times New Roman" w:hAnsi="Times New Roman"/>
          <w:sz w:val="19"/>
          <w:szCs w:val="19"/>
        </w:rPr>
        <w:t>intermediate (</w:t>
      </w:r>
      <w:r w:rsidR="002B5588">
        <w:rPr>
          <w:rFonts w:ascii="Times New Roman" w:hAnsi="Times New Roman"/>
          <w:b/>
          <w:sz w:val="19"/>
          <w:szCs w:val="19"/>
        </w:rPr>
        <w:t>D</w:t>
      </w:r>
      <w:r w:rsidR="002B5588">
        <w:rPr>
          <w:rFonts w:ascii="Times New Roman" w:hAnsi="Times New Roman"/>
          <w:sz w:val="19"/>
          <w:szCs w:val="19"/>
        </w:rPr>
        <w:t>)</w:t>
      </w:r>
      <w:r w:rsidR="004E416A">
        <w:rPr>
          <w:rFonts w:ascii="Times New Roman" w:hAnsi="Times New Roman"/>
          <w:sz w:val="19"/>
          <w:szCs w:val="19"/>
        </w:rPr>
        <w:t xml:space="preserve">, the enolate component and the carbonyl component will intramolecularly condense to form a cyclic compound. For most cases, 5, 6, and/or 7-membered rings are favored.  </w:t>
      </w:r>
    </w:p>
    <w:p w14:paraId="533B8EBE" w14:textId="77777777" w:rsidR="000800C2" w:rsidRDefault="000800C2" w:rsidP="00D05734">
      <w:pPr>
        <w:spacing w:after="0"/>
        <w:jc w:val="both"/>
        <w:rPr>
          <w:rFonts w:ascii="Times New Roman" w:hAnsi="Times New Roman"/>
          <w:sz w:val="19"/>
          <w:szCs w:val="19"/>
        </w:rPr>
      </w:pPr>
    </w:p>
    <w:p w14:paraId="0F3C697C" w14:textId="0493E1B0" w:rsidR="00D85392" w:rsidRDefault="00D03F44" w:rsidP="00D05734">
      <w:pPr>
        <w:spacing w:after="0"/>
        <w:jc w:val="both"/>
        <w:rPr>
          <w:rFonts w:ascii="Times New Roman" w:hAnsi="Times New Roman"/>
          <w:sz w:val="18"/>
          <w:szCs w:val="18"/>
        </w:rPr>
      </w:pPr>
      <w:r>
        <w:rPr>
          <w:rFonts w:ascii="Times New Roman" w:hAnsi="Times New Roman"/>
          <w:b/>
          <w:sz w:val="18"/>
          <w:szCs w:val="18"/>
        </w:rPr>
        <w:t>Scheme 6</w:t>
      </w:r>
      <w:r w:rsidR="000800C2">
        <w:rPr>
          <w:rFonts w:ascii="Times New Roman" w:hAnsi="Times New Roman"/>
          <w:b/>
          <w:sz w:val="18"/>
          <w:szCs w:val="18"/>
        </w:rPr>
        <w:t>.</w:t>
      </w:r>
      <w:r w:rsidR="000800C2">
        <w:rPr>
          <w:rFonts w:ascii="Times New Roman" w:hAnsi="Times New Roman"/>
          <w:sz w:val="18"/>
          <w:szCs w:val="18"/>
        </w:rPr>
        <w:t xml:space="preserve"> </w:t>
      </w:r>
      <w:r w:rsidR="00816123">
        <w:rPr>
          <w:rFonts w:ascii="Times New Roman" w:hAnsi="Times New Roman"/>
          <w:sz w:val="18"/>
          <w:szCs w:val="18"/>
        </w:rPr>
        <w:t>General</w:t>
      </w:r>
      <w:r w:rsidR="000800C2">
        <w:rPr>
          <w:rFonts w:ascii="Times New Roman" w:hAnsi="Times New Roman"/>
          <w:sz w:val="18"/>
          <w:szCs w:val="18"/>
        </w:rPr>
        <w:t xml:space="preserve"> Aldol Condensati</w:t>
      </w:r>
      <w:r w:rsidR="000800C2" w:rsidRPr="00816123">
        <w:rPr>
          <w:rFonts w:ascii="Times New Roman" w:hAnsi="Times New Roman"/>
          <w:sz w:val="18"/>
          <w:szCs w:val="18"/>
        </w:rPr>
        <w:t>on</w:t>
      </w:r>
      <w:r w:rsidR="00816123" w:rsidRPr="00816123">
        <w:rPr>
          <w:rFonts w:ascii="Times New Roman" w:hAnsi="Times New Roman"/>
          <w:sz w:val="18"/>
          <w:szCs w:val="18"/>
        </w:rPr>
        <w:t xml:space="preserve"> reaction</w:t>
      </w:r>
      <w:r w:rsidR="00816123">
        <w:rPr>
          <w:rFonts w:ascii="Times New Roman" w:hAnsi="Times New Roman"/>
          <w:sz w:val="18"/>
          <w:szCs w:val="18"/>
        </w:rPr>
        <w:t>.</w:t>
      </w:r>
    </w:p>
    <w:p w14:paraId="085202A4" w14:textId="43CF0A46" w:rsidR="00D85392" w:rsidRDefault="00D85392" w:rsidP="00D05734">
      <w:pPr>
        <w:spacing w:after="0"/>
        <w:jc w:val="both"/>
        <w:rPr>
          <w:rFonts w:ascii="Times New Roman" w:hAnsi="Times New Roman"/>
          <w:sz w:val="18"/>
          <w:szCs w:val="18"/>
        </w:rPr>
      </w:pPr>
    </w:p>
    <w:p w14:paraId="4D3C131C" w14:textId="78C9F884" w:rsidR="00D85392" w:rsidRDefault="00DB20E6" w:rsidP="00D05734">
      <w:pPr>
        <w:spacing w:after="0"/>
        <w:jc w:val="both"/>
        <w:rPr>
          <w:rFonts w:ascii="Times New Roman" w:hAnsi="Times New Roman"/>
          <w:sz w:val="18"/>
          <w:szCs w:val="18"/>
        </w:rPr>
      </w:pPr>
      <w:r>
        <w:rPr>
          <w:rFonts w:ascii="Times New Roman" w:hAnsi="Times New Roman"/>
          <w:noProof/>
          <w:sz w:val="18"/>
          <w:szCs w:val="18"/>
        </w:rPr>
        <w:drawing>
          <wp:anchor distT="0" distB="0" distL="114300" distR="114300" simplePos="0" relativeHeight="251679744" behindDoc="0" locked="0" layoutInCell="1" allowOverlap="1" wp14:anchorId="3B10A716" wp14:editId="774FDF07">
            <wp:simplePos x="0" y="0"/>
            <wp:positionH relativeFrom="column">
              <wp:posOffset>603250</wp:posOffset>
            </wp:positionH>
            <wp:positionV relativeFrom="paragraph">
              <wp:posOffset>46990</wp:posOffset>
            </wp:positionV>
            <wp:extent cx="1816100" cy="363220"/>
            <wp:effectExtent l="0" t="0" r="12700" b="0"/>
            <wp:wrapThrough wrapText="bothSides">
              <wp:wrapPolygon edited="0">
                <wp:start x="3021" y="0"/>
                <wp:lineTo x="0" y="4531"/>
                <wp:lineTo x="0" y="13594"/>
                <wp:lineTo x="4531" y="19636"/>
                <wp:lineTo x="21449" y="19636"/>
                <wp:lineTo x="18428" y="6042"/>
                <wp:lineTo x="16917" y="0"/>
                <wp:lineTo x="3021" y="0"/>
              </wp:wrapPolygon>
            </wp:wrapThrough>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100"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FD447" w14:textId="77777777" w:rsidR="00D85392" w:rsidRDefault="00D85392" w:rsidP="00D05734">
      <w:pPr>
        <w:spacing w:after="0"/>
        <w:jc w:val="both"/>
        <w:rPr>
          <w:rFonts w:ascii="Times New Roman" w:hAnsi="Times New Roman"/>
          <w:sz w:val="18"/>
          <w:szCs w:val="18"/>
        </w:rPr>
      </w:pPr>
    </w:p>
    <w:p w14:paraId="198F6516" w14:textId="77777777" w:rsidR="00D85392" w:rsidRDefault="00D85392" w:rsidP="00D05734">
      <w:pPr>
        <w:spacing w:after="0"/>
        <w:jc w:val="both"/>
        <w:rPr>
          <w:rFonts w:ascii="Times New Roman" w:hAnsi="Times New Roman"/>
          <w:sz w:val="18"/>
          <w:szCs w:val="18"/>
        </w:rPr>
      </w:pPr>
    </w:p>
    <w:p w14:paraId="69685B38" w14:textId="77777777" w:rsidR="00B11A04" w:rsidRDefault="00B11A04" w:rsidP="00D05734">
      <w:pPr>
        <w:spacing w:after="0"/>
        <w:jc w:val="both"/>
        <w:rPr>
          <w:rFonts w:ascii="Times New Roman" w:hAnsi="Times New Roman"/>
          <w:b/>
          <w:sz w:val="18"/>
          <w:szCs w:val="18"/>
        </w:rPr>
      </w:pPr>
    </w:p>
    <w:p w14:paraId="4A38D94A" w14:textId="601B4402" w:rsidR="00417587" w:rsidRDefault="00D03F44" w:rsidP="00D05734">
      <w:pPr>
        <w:spacing w:after="0"/>
        <w:jc w:val="both"/>
        <w:rPr>
          <w:rFonts w:ascii="Times New Roman" w:hAnsi="Times New Roman"/>
          <w:sz w:val="18"/>
          <w:szCs w:val="18"/>
        </w:rPr>
      </w:pPr>
      <w:r>
        <w:rPr>
          <w:rFonts w:ascii="Times New Roman" w:hAnsi="Times New Roman"/>
          <w:b/>
          <w:sz w:val="18"/>
          <w:szCs w:val="18"/>
        </w:rPr>
        <w:t>Scheme 7</w:t>
      </w:r>
      <w:r w:rsidR="00417587">
        <w:rPr>
          <w:rFonts w:ascii="Times New Roman" w:hAnsi="Times New Roman"/>
          <w:b/>
          <w:sz w:val="18"/>
          <w:szCs w:val="18"/>
        </w:rPr>
        <w:t>.</w:t>
      </w:r>
      <w:r w:rsidR="00417587">
        <w:rPr>
          <w:rFonts w:ascii="Times New Roman" w:hAnsi="Times New Roman"/>
          <w:sz w:val="18"/>
          <w:szCs w:val="18"/>
        </w:rPr>
        <w:t xml:space="preserve"> Mechanism of the Aldol Condensation reaction.</w:t>
      </w:r>
    </w:p>
    <w:p w14:paraId="2D25C6CC" w14:textId="21173D46" w:rsidR="00D85392" w:rsidRDefault="00DB20E6" w:rsidP="00D05734">
      <w:pPr>
        <w:spacing w:after="0"/>
        <w:jc w:val="both"/>
        <w:rPr>
          <w:rFonts w:ascii="Times New Roman" w:hAnsi="Times New Roman"/>
          <w:noProof/>
          <w:sz w:val="18"/>
          <w:szCs w:val="18"/>
        </w:rPr>
      </w:pPr>
      <w:r>
        <w:rPr>
          <w:rFonts w:ascii="Times New Roman" w:hAnsi="Times New Roman"/>
          <w:noProof/>
          <w:sz w:val="18"/>
          <w:szCs w:val="18"/>
        </w:rPr>
        <w:drawing>
          <wp:anchor distT="0" distB="0" distL="114300" distR="114300" simplePos="0" relativeHeight="251698176" behindDoc="0" locked="0" layoutInCell="1" allowOverlap="1" wp14:anchorId="0B250F82" wp14:editId="5EFE1E8A">
            <wp:simplePos x="0" y="0"/>
            <wp:positionH relativeFrom="column">
              <wp:posOffset>0</wp:posOffset>
            </wp:positionH>
            <wp:positionV relativeFrom="paragraph">
              <wp:posOffset>111760</wp:posOffset>
            </wp:positionV>
            <wp:extent cx="2991485" cy="1828800"/>
            <wp:effectExtent l="0" t="0" r="5715" b="0"/>
            <wp:wrapThrough wrapText="bothSides">
              <wp:wrapPolygon edited="0">
                <wp:start x="19624" y="0"/>
                <wp:lineTo x="0" y="2400"/>
                <wp:lineTo x="0" y="3900"/>
                <wp:lineTo x="367" y="7200"/>
                <wp:lineTo x="8987" y="9600"/>
                <wp:lineTo x="16689" y="9600"/>
                <wp:lineTo x="2384" y="12000"/>
                <wp:lineTo x="183" y="12600"/>
                <wp:lineTo x="367" y="18600"/>
                <wp:lineTo x="2017" y="19200"/>
                <wp:lineTo x="16323" y="19800"/>
                <wp:lineTo x="17423" y="21000"/>
                <wp:lineTo x="17973" y="21300"/>
                <wp:lineTo x="19257" y="21300"/>
                <wp:lineTo x="19991" y="20700"/>
                <wp:lineTo x="19440" y="19800"/>
                <wp:lineTo x="18523" y="18900"/>
                <wp:lineTo x="19074" y="15900"/>
                <wp:lineTo x="18340" y="14400"/>
                <wp:lineTo x="19074" y="14100"/>
                <wp:lineTo x="18890" y="12600"/>
                <wp:lineTo x="17423" y="9600"/>
                <wp:lineTo x="18523" y="7800"/>
                <wp:lineTo x="19074" y="5400"/>
                <wp:lineTo x="18523" y="4800"/>
                <wp:lineTo x="21458" y="2100"/>
                <wp:lineTo x="21458" y="1500"/>
                <wp:lineTo x="21091" y="0"/>
                <wp:lineTo x="19624"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148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CB306" w14:textId="41CAEDF2" w:rsidR="002B5588" w:rsidRDefault="002B5588" w:rsidP="00D05734">
      <w:pPr>
        <w:spacing w:after="0"/>
        <w:jc w:val="both"/>
        <w:rPr>
          <w:rFonts w:ascii="Times New Roman" w:hAnsi="Times New Roman"/>
          <w:noProof/>
          <w:sz w:val="18"/>
          <w:szCs w:val="18"/>
        </w:rPr>
      </w:pPr>
    </w:p>
    <w:p w14:paraId="3573FE4E" w14:textId="19B320C7" w:rsidR="00AA6F76" w:rsidRDefault="00AA6F76" w:rsidP="00D05734">
      <w:pPr>
        <w:spacing w:after="0"/>
        <w:jc w:val="both"/>
        <w:rPr>
          <w:rFonts w:ascii="Times New Roman" w:hAnsi="Times New Roman"/>
          <w:sz w:val="18"/>
          <w:szCs w:val="18"/>
        </w:rPr>
      </w:pPr>
    </w:p>
    <w:p w14:paraId="2F9000EF" w14:textId="53C7F83A" w:rsidR="002B4A90" w:rsidRDefault="002B4A90" w:rsidP="00D05734">
      <w:pPr>
        <w:spacing w:after="0"/>
        <w:jc w:val="both"/>
        <w:rPr>
          <w:rFonts w:ascii="Times New Roman" w:hAnsi="Times New Roman"/>
          <w:sz w:val="18"/>
          <w:szCs w:val="18"/>
        </w:rPr>
      </w:pPr>
    </w:p>
    <w:p w14:paraId="1D4856BB" w14:textId="77777777" w:rsidR="00D85392" w:rsidRPr="00417587" w:rsidRDefault="00D85392" w:rsidP="00D05734">
      <w:pPr>
        <w:spacing w:after="0"/>
        <w:jc w:val="both"/>
        <w:rPr>
          <w:rFonts w:ascii="Times New Roman" w:hAnsi="Times New Roman"/>
          <w:sz w:val="19"/>
          <w:szCs w:val="19"/>
        </w:rPr>
      </w:pPr>
    </w:p>
    <w:p w14:paraId="793C1E91" w14:textId="77777777" w:rsidR="001F4063" w:rsidRDefault="001F4063" w:rsidP="00D05734">
      <w:pPr>
        <w:spacing w:after="0"/>
        <w:jc w:val="both"/>
        <w:rPr>
          <w:rFonts w:ascii="Times New Roman" w:hAnsi="Times New Roman"/>
          <w:sz w:val="19"/>
          <w:szCs w:val="19"/>
        </w:rPr>
      </w:pPr>
    </w:p>
    <w:p w14:paraId="2B002669" w14:textId="77777777" w:rsidR="002B4A90" w:rsidRDefault="002B4A90" w:rsidP="00D05734">
      <w:pPr>
        <w:spacing w:after="0"/>
        <w:jc w:val="both"/>
        <w:rPr>
          <w:rFonts w:ascii="Times New Roman" w:hAnsi="Times New Roman"/>
          <w:b/>
          <w:sz w:val="19"/>
          <w:szCs w:val="19"/>
        </w:rPr>
      </w:pPr>
    </w:p>
    <w:p w14:paraId="3FCE5573" w14:textId="77777777" w:rsidR="002B4A90" w:rsidRDefault="002B4A90" w:rsidP="00D05734">
      <w:pPr>
        <w:spacing w:after="0"/>
        <w:jc w:val="both"/>
        <w:rPr>
          <w:rFonts w:ascii="Times New Roman" w:hAnsi="Times New Roman"/>
          <w:b/>
          <w:sz w:val="19"/>
          <w:szCs w:val="19"/>
        </w:rPr>
      </w:pPr>
    </w:p>
    <w:p w14:paraId="69B0E54E" w14:textId="77777777" w:rsidR="002B4A90" w:rsidRDefault="002B4A90" w:rsidP="00D05734">
      <w:pPr>
        <w:spacing w:after="0"/>
        <w:jc w:val="both"/>
        <w:rPr>
          <w:rFonts w:ascii="Times New Roman" w:hAnsi="Times New Roman"/>
          <w:b/>
          <w:sz w:val="19"/>
          <w:szCs w:val="19"/>
        </w:rPr>
      </w:pPr>
    </w:p>
    <w:p w14:paraId="4259DAF2" w14:textId="77777777" w:rsidR="002B4A90" w:rsidRDefault="002B4A90" w:rsidP="00D05734">
      <w:pPr>
        <w:spacing w:after="0"/>
        <w:jc w:val="both"/>
        <w:rPr>
          <w:rFonts w:ascii="Times New Roman" w:hAnsi="Times New Roman"/>
          <w:b/>
          <w:sz w:val="19"/>
          <w:szCs w:val="19"/>
        </w:rPr>
      </w:pPr>
    </w:p>
    <w:p w14:paraId="0C314830" w14:textId="77777777" w:rsidR="002B4A90" w:rsidRDefault="002B4A90" w:rsidP="00D05734">
      <w:pPr>
        <w:spacing w:after="0"/>
        <w:jc w:val="both"/>
        <w:rPr>
          <w:rFonts w:ascii="Times New Roman" w:hAnsi="Times New Roman"/>
          <w:b/>
          <w:sz w:val="19"/>
          <w:szCs w:val="19"/>
        </w:rPr>
      </w:pPr>
    </w:p>
    <w:p w14:paraId="65CC021A" w14:textId="77777777" w:rsidR="002B5588" w:rsidRDefault="002B5588" w:rsidP="00D05734">
      <w:pPr>
        <w:spacing w:after="0"/>
        <w:jc w:val="both"/>
        <w:rPr>
          <w:rFonts w:ascii="Times New Roman" w:hAnsi="Times New Roman"/>
          <w:b/>
          <w:sz w:val="19"/>
          <w:szCs w:val="19"/>
        </w:rPr>
      </w:pPr>
    </w:p>
    <w:p w14:paraId="61F00410" w14:textId="77777777" w:rsidR="00DB20E6" w:rsidRDefault="00DB20E6" w:rsidP="00D05734">
      <w:pPr>
        <w:spacing w:after="0"/>
        <w:jc w:val="both"/>
        <w:rPr>
          <w:rFonts w:ascii="Times New Roman" w:hAnsi="Times New Roman"/>
          <w:b/>
          <w:sz w:val="19"/>
          <w:szCs w:val="19"/>
        </w:rPr>
      </w:pPr>
    </w:p>
    <w:p w14:paraId="722E6548" w14:textId="77777777" w:rsidR="001B33AA" w:rsidRDefault="001B33AA" w:rsidP="00D05734">
      <w:pPr>
        <w:spacing w:after="0"/>
        <w:jc w:val="both"/>
        <w:rPr>
          <w:rFonts w:ascii="Times New Roman" w:hAnsi="Times New Roman"/>
          <w:b/>
          <w:sz w:val="19"/>
          <w:szCs w:val="19"/>
        </w:rPr>
      </w:pPr>
    </w:p>
    <w:p w14:paraId="78F06CE5" w14:textId="77777777" w:rsidR="001B33AA" w:rsidRDefault="001B33AA" w:rsidP="00D05734">
      <w:pPr>
        <w:spacing w:after="0"/>
        <w:jc w:val="both"/>
        <w:rPr>
          <w:rFonts w:ascii="Times New Roman" w:hAnsi="Times New Roman"/>
          <w:b/>
          <w:sz w:val="19"/>
          <w:szCs w:val="19"/>
        </w:rPr>
      </w:pPr>
    </w:p>
    <w:p w14:paraId="3A8E8334" w14:textId="77777777" w:rsidR="001B33AA" w:rsidRDefault="001B33AA" w:rsidP="00D05734">
      <w:pPr>
        <w:spacing w:after="0"/>
        <w:jc w:val="both"/>
        <w:rPr>
          <w:rFonts w:ascii="Times New Roman" w:hAnsi="Times New Roman"/>
          <w:b/>
          <w:sz w:val="19"/>
          <w:szCs w:val="19"/>
        </w:rPr>
      </w:pPr>
    </w:p>
    <w:p w14:paraId="126D8B74" w14:textId="3C78F7E5" w:rsidR="001F4063" w:rsidRDefault="001F4063" w:rsidP="00D05734">
      <w:pPr>
        <w:spacing w:after="0"/>
        <w:jc w:val="both"/>
        <w:rPr>
          <w:rFonts w:ascii="Times New Roman" w:hAnsi="Times New Roman"/>
          <w:b/>
          <w:sz w:val="19"/>
          <w:szCs w:val="19"/>
        </w:rPr>
      </w:pPr>
      <w:r>
        <w:rPr>
          <w:rFonts w:ascii="Times New Roman" w:hAnsi="Times New Roman"/>
          <w:b/>
          <w:sz w:val="19"/>
          <w:szCs w:val="19"/>
        </w:rPr>
        <w:lastRenderedPageBreak/>
        <w:t>Application of Aldol Condensation</w:t>
      </w:r>
    </w:p>
    <w:p w14:paraId="07CAE223" w14:textId="77777777" w:rsidR="001F4063" w:rsidRPr="00D85392" w:rsidRDefault="001F4063" w:rsidP="00D05734">
      <w:pPr>
        <w:spacing w:after="0"/>
        <w:jc w:val="both"/>
        <w:rPr>
          <w:rFonts w:ascii="Times New Roman" w:hAnsi="Times New Roman"/>
          <w:sz w:val="19"/>
          <w:szCs w:val="19"/>
        </w:rPr>
      </w:pPr>
    </w:p>
    <w:p w14:paraId="0D52194E" w14:textId="4A147399" w:rsidR="001F4063" w:rsidRPr="00D05734" w:rsidRDefault="00804D97" w:rsidP="00D05734">
      <w:pPr>
        <w:ind w:firstLine="180"/>
        <w:jc w:val="both"/>
        <w:rPr>
          <w:rFonts w:ascii="Times New Roman" w:hAnsi="Times New Roman"/>
          <w:sz w:val="19"/>
          <w:szCs w:val="19"/>
          <w:vertAlign w:val="superscript"/>
        </w:rPr>
      </w:pPr>
      <w:r>
        <w:rPr>
          <w:rFonts w:ascii="Times New Roman" w:hAnsi="Times New Roman"/>
          <w:sz w:val="19"/>
          <w:szCs w:val="19"/>
        </w:rPr>
        <w:t xml:space="preserve">To make an effective synthesis protocol, many things have to be taken into consideration: the number of steps, what reagents to use, the cost of those reagents, how environmentally friendly the reagents are, purity of product, amongst others. Anxin Wu’s team was able to efficiently synthesize an </w:t>
      </w:r>
      <w:r w:rsidRPr="00804D97">
        <w:rPr>
          <w:rFonts w:ascii="Times New Roman" w:hAnsi="Times New Roman"/>
          <w:sz w:val="19"/>
          <w:szCs w:val="19"/>
          <w:lang w:val="el-GR"/>
        </w:rPr>
        <w:t>α, β</w:t>
      </w:r>
      <w:r w:rsidRPr="00804D97">
        <w:rPr>
          <w:rFonts w:ascii="Times New Roman" w:hAnsi="Times New Roman"/>
          <w:sz w:val="19"/>
          <w:szCs w:val="19"/>
        </w:rPr>
        <w:t>-unsaturated</w:t>
      </w:r>
      <w:r>
        <w:rPr>
          <w:rFonts w:ascii="Times New Roman" w:hAnsi="Times New Roman"/>
          <w:sz w:val="19"/>
          <w:szCs w:val="19"/>
        </w:rPr>
        <w:t xml:space="preserve"> </w:t>
      </w:r>
      <w:r w:rsidR="000751B9" w:rsidRPr="00804D97">
        <w:rPr>
          <w:rFonts w:ascii="Times New Roman" w:hAnsi="Times New Roman"/>
          <w:sz w:val="19"/>
          <w:szCs w:val="19"/>
          <w:lang w:val="el-GR"/>
        </w:rPr>
        <w:t>α</w:t>
      </w:r>
      <w:r w:rsidR="000751B9">
        <w:rPr>
          <w:rFonts w:ascii="Times New Roman" w:hAnsi="Times New Roman"/>
          <w:sz w:val="19"/>
          <w:szCs w:val="19"/>
        </w:rPr>
        <w:t>-</w:t>
      </w:r>
      <w:r>
        <w:rPr>
          <w:rFonts w:ascii="Times New Roman" w:hAnsi="Times New Roman"/>
          <w:sz w:val="19"/>
          <w:szCs w:val="19"/>
        </w:rPr>
        <w:t xml:space="preserve">iodo ketone directly from an </w:t>
      </w:r>
      <w:r w:rsidRPr="00804D97">
        <w:rPr>
          <w:rFonts w:ascii="Times New Roman" w:hAnsi="Times New Roman"/>
          <w:sz w:val="19"/>
          <w:szCs w:val="19"/>
          <w:lang w:val="el-GR"/>
        </w:rPr>
        <w:t>α, β</w:t>
      </w:r>
      <w:r w:rsidRPr="00804D97">
        <w:rPr>
          <w:rFonts w:ascii="Times New Roman" w:hAnsi="Times New Roman"/>
          <w:sz w:val="19"/>
          <w:szCs w:val="19"/>
        </w:rPr>
        <w:t>-unsaturated</w:t>
      </w:r>
      <w:r>
        <w:rPr>
          <w:rFonts w:ascii="Times New Roman" w:hAnsi="Times New Roman"/>
          <w:sz w:val="19"/>
          <w:szCs w:val="19"/>
        </w:rPr>
        <w:t xml:space="preserve"> ketone by selective </w:t>
      </w:r>
      <w:r w:rsidR="000751B9">
        <w:rPr>
          <w:rFonts w:ascii="Times New Roman" w:hAnsi="Times New Roman"/>
          <w:sz w:val="19"/>
          <w:szCs w:val="19"/>
        </w:rPr>
        <w:t>iodination</w:t>
      </w:r>
      <w:r w:rsidR="00D05734">
        <w:rPr>
          <w:rFonts w:ascii="Times New Roman" w:hAnsi="Times New Roman"/>
          <w:sz w:val="19"/>
          <w:szCs w:val="19"/>
        </w:rPr>
        <w:t xml:space="preserve"> and incorporating a critical aldol condensation step</w:t>
      </w:r>
      <w:r w:rsidR="00167EDD">
        <w:rPr>
          <w:rFonts w:ascii="Times New Roman" w:hAnsi="Times New Roman"/>
          <w:sz w:val="19"/>
          <w:szCs w:val="19"/>
        </w:rPr>
        <w:t xml:space="preserve"> (Scheme 8</w:t>
      </w:r>
      <w:r w:rsidR="000751B9">
        <w:rPr>
          <w:rFonts w:ascii="Times New Roman" w:hAnsi="Times New Roman"/>
          <w:sz w:val="19"/>
          <w:szCs w:val="19"/>
        </w:rPr>
        <w:t>)</w:t>
      </w:r>
      <w:r>
        <w:rPr>
          <w:rFonts w:ascii="Times New Roman" w:hAnsi="Times New Roman"/>
          <w:sz w:val="19"/>
          <w:szCs w:val="19"/>
        </w:rPr>
        <w:t xml:space="preserve">.  </w:t>
      </w:r>
      <w:r w:rsidR="000751B9">
        <w:rPr>
          <w:rFonts w:ascii="Times New Roman" w:hAnsi="Times New Roman"/>
          <w:sz w:val="19"/>
          <w:szCs w:val="19"/>
        </w:rPr>
        <w:t>More specifically</w:t>
      </w:r>
      <w:r w:rsidR="00D05734">
        <w:rPr>
          <w:rFonts w:ascii="Times New Roman" w:hAnsi="Times New Roman"/>
          <w:sz w:val="19"/>
          <w:szCs w:val="19"/>
        </w:rPr>
        <w:t>, by using copper</w:t>
      </w:r>
      <w:r w:rsidR="000751B9">
        <w:rPr>
          <w:rFonts w:ascii="Times New Roman" w:hAnsi="Times New Roman"/>
          <w:sz w:val="19"/>
          <w:szCs w:val="19"/>
        </w:rPr>
        <w:t>(II) oxide</w:t>
      </w:r>
      <w:r w:rsidR="00D05734">
        <w:rPr>
          <w:rFonts w:ascii="Times New Roman" w:hAnsi="Times New Roman"/>
          <w:sz w:val="19"/>
          <w:szCs w:val="19"/>
        </w:rPr>
        <w:t>/iodine, their method resulted in a faster reaction time, used inexpensive reagents, and most importantly, produced a clean product.</w:t>
      </w:r>
      <w:r w:rsidR="00D05734">
        <w:rPr>
          <w:rFonts w:ascii="Times New Roman" w:hAnsi="Times New Roman"/>
          <w:sz w:val="19"/>
          <w:szCs w:val="19"/>
          <w:vertAlign w:val="superscript"/>
        </w:rPr>
        <w:t>7</w:t>
      </w:r>
    </w:p>
    <w:p w14:paraId="7A84361E" w14:textId="19B9F19A" w:rsidR="00D05734" w:rsidRDefault="00167EDD" w:rsidP="00D05734">
      <w:pPr>
        <w:jc w:val="both"/>
        <w:rPr>
          <w:rFonts w:ascii="Times New Roman" w:hAnsi="Times New Roman"/>
          <w:sz w:val="18"/>
          <w:szCs w:val="18"/>
        </w:rPr>
      </w:pPr>
      <w:r>
        <w:rPr>
          <w:rFonts w:ascii="Times New Roman" w:hAnsi="Times New Roman"/>
          <w:noProof/>
          <w:sz w:val="18"/>
          <w:szCs w:val="18"/>
        </w:rPr>
        <w:drawing>
          <wp:anchor distT="0" distB="0" distL="114300" distR="114300" simplePos="0" relativeHeight="251708416" behindDoc="0" locked="0" layoutInCell="1" allowOverlap="1" wp14:anchorId="64A3784C" wp14:editId="606AE666">
            <wp:simplePos x="0" y="0"/>
            <wp:positionH relativeFrom="column">
              <wp:posOffset>0</wp:posOffset>
            </wp:positionH>
            <wp:positionV relativeFrom="paragraph">
              <wp:posOffset>278130</wp:posOffset>
            </wp:positionV>
            <wp:extent cx="3143250" cy="685165"/>
            <wp:effectExtent l="0" t="0" r="6350" b="635"/>
            <wp:wrapThrough wrapText="bothSides">
              <wp:wrapPolygon edited="0">
                <wp:start x="524" y="0"/>
                <wp:lineTo x="0" y="5605"/>
                <wp:lineTo x="0" y="8007"/>
                <wp:lineTo x="19898" y="12812"/>
                <wp:lineTo x="17804" y="14413"/>
                <wp:lineTo x="17804" y="20819"/>
                <wp:lineTo x="19375" y="20819"/>
                <wp:lineTo x="20073" y="20819"/>
                <wp:lineTo x="21295" y="20819"/>
                <wp:lineTo x="21469" y="15214"/>
                <wp:lineTo x="21469" y="5605"/>
                <wp:lineTo x="21120" y="0"/>
                <wp:lineTo x="12218" y="0"/>
                <wp:lineTo x="524" y="0"/>
              </wp:wrapPolygon>
            </wp:wrapThrough>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18"/>
          <w:szCs w:val="18"/>
        </w:rPr>
        <w:t>Scheme 8</w:t>
      </w:r>
      <w:r w:rsidR="00D05734">
        <w:rPr>
          <w:rFonts w:ascii="Times New Roman" w:hAnsi="Times New Roman"/>
          <w:b/>
          <w:sz w:val="18"/>
          <w:szCs w:val="18"/>
        </w:rPr>
        <w:t xml:space="preserve">. </w:t>
      </w:r>
      <w:r w:rsidR="00D05734">
        <w:rPr>
          <w:rFonts w:ascii="Times New Roman" w:hAnsi="Times New Roman"/>
          <w:sz w:val="18"/>
          <w:szCs w:val="18"/>
        </w:rPr>
        <w:t>General Aldol condensation to</w:t>
      </w:r>
      <w:r w:rsidR="00D05734" w:rsidRPr="00D05734">
        <w:rPr>
          <w:rFonts w:ascii="Times New Roman" w:hAnsi="Times New Roman"/>
          <w:sz w:val="18"/>
          <w:szCs w:val="18"/>
        </w:rPr>
        <w:t xml:space="preserve"> </w:t>
      </w:r>
      <w:r w:rsidR="00D05734" w:rsidRPr="00D05734">
        <w:rPr>
          <w:rFonts w:ascii="Times New Roman" w:hAnsi="Times New Roman"/>
          <w:sz w:val="18"/>
          <w:szCs w:val="18"/>
          <w:lang w:val="el-GR"/>
        </w:rPr>
        <w:t>α, β</w:t>
      </w:r>
      <w:r w:rsidR="00D05734" w:rsidRPr="00D05734">
        <w:rPr>
          <w:rFonts w:ascii="Times New Roman" w:hAnsi="Times New Roman"/>
          <w:sz w:val="18"/>
          <w:szCs w:val="18"/>
        </w:rPr>
        <w:t>-unsaturated ketone.</w:t>
      </w:r>
    </w:p>
    <w:p w14:paraId="5244CBAA" w14:textId="6A0B70D4" w:rsidR="00D05734" w:rsidRDefault="00D05734" w:rsidP="00D05734">
      <w:pPr>
        <w:jc w:val="both"/>
        <w:rPr>
          <w:rFonts w:ascii="Times New Roman" w:hAnsi="Times New Roman"/>
          <w:sz w:val="18"/>
          <w:szCs w:val="18"/>
        </w:rPr>
      </w:pPr>
    </w:p>
    <w:p w14:paraId="0CC7E400" w14:textId="026B519F" w:rsidR="003500AF" w:rsidRDefault="009B1FFB" w:rsidP="00D05734">
      <w:pPr>
        <w:spacing w:after="0"/>
        <w:jc w:val="both"/>
        <w:rPr>
          <w:rFonts w:ascii="Times New Roman" w:hAnsi="Times New Roman"/>
          <w:b/>
          <w:sz w:val="19"/>
          <w:szCs w:val="19"/>
        </w:rPr>
      </w:pPr>
      <w:r>
        <w:rPr>
          <w:rFonts w:ascii="Times New Roman" w:hAnsi="Times New Roman"/>
          <w:b/>
          <w:sz w:val="19"/>
          <w:szCs w:val="19"/>
        </w:rPr>
        <w:t>Variances</w:t>
      </w:r>
      <w:r w:rsidR="0041032E">
        <w:rPr>
          <w:rFonts w:ascii="Times New Roman" w:hAnsi="Times New Roman"/>
          <w:b/>
          <w:sz w:val="19"/>
          <w:szCs w:val="19"/>
        </w:rPr>
        <w:t xml:space="preserve"> of the Robinson Annulation Reaction</w:t>
      </w:r>
    </w:p>
    <w:p w14:paraId="20A1BC2A" w14:textId="77777777" w:rsidR="0041032E" w:rsidRPr="0041032E" w:rsidRDefault="0041032E" w:rsidP="00D05734">
      <w:pPr>
        <w:spacing w:after="0"/>
        <w:jc w:val="both"/>
        <w:rPr>
          <w:rFonts w:ascii="Times New Roman" w:hAnsi="Times New Roman"/>
          <w:b/>
          <w:sz w:val="19"/>
          <w:szCs w:val="19"/>
        </w:rPr>
      </w:pPr>
    </w:p>
    <w:p w14:paraId="08B2EBE2" w14:textId="2D2F2379" w:rsidR="003500AF" w:rsidRPr="00D05734" w:rsidRDefault="0041032E" w:rsidP="00D05734">
      <w:pPr>
        <w:pStyle w:val="TAMainText"/>
        <w:rPr>
          <w:vertAlign w:val="superscript"/>
        </w:rPr>
      </w:pPr>
      <w:r>
        <w:t>Since the discovery of the Robinso</w:t>
      </w:r>
      <w:r w:rsidR="00BE7427">
        <w:t>n Annulation reaction, there have</w:t>
      </w:r>
      <w:r>
        <w:t xml:space="preserve"> been several variances </w:t>
      </w:r>
      <w:r w:rsidR="00FE4DF5">
        <w:t xml:space="preserve">to produce similar cyclic </w:t>
      </w:r>
      <w:r w:rsidR="00FE4DF5">
        <w:rPr>
          <w:lang w:val="el-GR"/>
        </w:rPr>
        <w:t>α, β</w:t>
      </w:r>
      <w:r w:rsidR="00FE4DF5">
        <w:t>-unsaturated ketone compounds. Robinson Annulation products have been shown to be precursors for even more advanced syntheses, including natural product protocols as well as successfully synthesizing steroid compounds, which will be discussed later.</w:t>
      </w:r>
    </w:p>
    <w:p w14:paraId="3EC944F5" w14:textId="77777777" w:rsidR="000B4576" w:rsidRDefault="000B4576" w:rsidP="00D05734">
      <w:pPr>
        <w:pStyle w:val="TAMainText"/>
        <w:ind w:firstLine="0"/>
      </w:pPr>
    </w:p>
    <w:p w14:paraId="4A673D80" w14:textId="5CF0892E" w:rsidR="000B4576" w:rsidRDefault="000B4576" w:rsidP="00D05734">
      <w:pPr>
        <w:pStyle w:val="TAMainText"/>
        <w:ind w:firstLine="0"/>
        <w:rPr>
          <w:b/>
        </w:rPr>
      </w:pPr>
      <w:r>
        <w:rPr>
          <w:b/>
        </w:rPr>
        <w:t>Michael Acceptor</w:t>
      </w:r>
    </w:p>
    <w:p w14:paraId="1EC60ADD" w14:textId="77777777" w:rsidR="00B438A4" w:rsidRDefault="00B438A4" w:rsidP="00D05734">
      <w:pPr>
        <w:pStyle w:val="TAMainText"/>
        <w:ind w:firstLine="180"/>
      </w:pPr>
    </w:p>
    <w:p w14:paraId="4702518A" w14:textId="77777777" w:rsidR="008A223F" w:rsidRDefault="0022028F" w:rsidP="00167EDD">
      <w:pPr>
        <w:pStyle w:val="TAMainText"/>
        <w:ind w:firstLine="180"/>
      </w:pPr>
      <w:r>
        <w:t xml:space="preserve">As discussed prior, Michael acceptors are typically </w:t>
      </w:r>
      <w:r>
        <w:rPr>
          <w:lang w:val="el-GR"/>
        </w:rPr>
        <w:t>α, β</w:t>
      </w:r>
      <w:r>
        <w:t xml:space="preserve">-unsaturated ketones. </w:t>
      </w:r>
      <w:r w:rsidR="008A223F">
        <w:t>Nevertheless</w:t>
      </w:r>
      <w:r>
        <w:t xml:space="preserve">, aldehydes and acid derivatives are also considered </w:t>
      </w:r>
      <w:r w:rsidR="008E232B">
        <w:t xml:space="preserve">as </w:t>
      </w:r>
      <w:r>
        <w:t xml:space="preserve">Michael acceptors. </w:t>
      </w:r>
      <w:r w:rsidR="008E232B">
        <w:t xml:space="preserve">Olefins </w:t>
      </w:r>
      <w:r>
        <w:t xml:space="preserve">with nitro, cyano, keto, and ester groups are </w:t>
      </w:r>
      <w:r w:rsidR="008E232B">
        <w:t xml:space="preserve">all </w:t>
      </w:r>
      <w:r>
        <w:t>electron withdrawing</w:t>
      </w:r>
      <w:r w:rsidR="008E232B">
        <w:t xml:space="preserve"> groups, </w:t>
      </w:r>
      <w:r w:rsidR="0061412D">
        <w:t>like</w:t>
      </w:r>
      <w:r w:rsidR="008E232B">
        <w:t xml:space="preserve"> </w:t>
      </w:r>
      <w:r w:rsidR="008E232B">
        <w:rPr>
          <w:lang w:val="el-GR"/>
        </w:rPr>
        <w:t>α, β</w:t>
      </w:r>
      <w:r w:rsidR="008E232B">
        <w:t>-unsaturated ketones</w:t>
      </w:r>
      <w:r>
        <w:t xml:space="preserve">. </w:t>
      </w:r>
    </w:p>
    <w:p w14:paraId="391B141A" w14:textId="77777777" w:rsidR="008A223F" w:rsidRDefault="008A223F" w:rsidP="00167EDD">
      <w:pPr>
        <w:pStyle w:val="TAMainText"/>
        <w:ind w:firstLine="180"/>
      </w:pPr>
    </w:p>
    <w:p w14:paraId="75AF30D0" w14:textId="4C19BB11" w:rsidR="000B4576" w:rsidRPr="000B4576" w:rsidRDefault="008A223F" w:rsidP="00601A50">
      <w:pPr>
        <w:pStyle w:val="TAMainText"/>
      </w:pPr>
      <w:r>
        <w:t xml:space="preserve">Although a Michael acceptor is used in the Robinson Annulation protocol, there are other ways to make a Michael acceptor. For instance, in presence of a ketone, a Mannich base—a </w:t>
      </w:r>
      <w:r>
        <w:rPr>
          <w:lang w:val="el-GR"/>
        </w:rPr>
        <w:t>β</w:t>
      </w:r>
      <w:r>
        <w:t xml:space="preserve">-amino-ketone—can form into a Michael acceptor. In addition, under neutral conditions, enamines—an unsaturated compound derived from the condensation of </w:t>
      </w:r>
      <w:r w:rsidR="00914465">
        <w:t xml:space="preserve">a </w:t>
      </w:r>
      <w:r>
        <w:t xml:space="preserve">ketone or aldehyde with a secondary amine—can also form into a Michael acceptor. </w:t>
      </w:r>
      <w:r w:rsidR="00914465">
        <w:t>These are some examples for the plethora of ways to synthetically create a Michael acceptor.</w:t>
      </w:r>
    </w:p>
    <w:p w14:paraId="733BE51A" w14:textId="77777777" w:rsidR="00FE4DF5" w:rsidRDefault="00FE4DF5" w:rsidP="00D05734">
      <w:pPr>
        <w:pStyle w:val="TAMainText"/>
        <w:ind w:firstLine="0"/>
      </w:pPr>
    </w:p>
    <w:p w14:paraId="38D40EB7" w14:textId="3A4565B0" w:rsidR="00FE4DF5" w:rsidRPr="00FE4DF5" w:rsidRDefault="00FE4DF5" w:rsidP="00D05734">
      <w:pPr>
        <w:pStyle w:val="TAMainText"/>
        <w:ind w:firstLine="0"/>
        <w:rPr>
          <w:b/>
        </w:rPr>
      </w:pPr>
      <w:r w:rsidRPr="00FE4DF5">
        <w:rPr>
          <w:b/>
        </w:rPr>
        <w:t>Wichterle Reaction</w:t>
      </w:r>
    </w:p>
    <w:p w14:paraId="5BD10A6F" w14:textId="77777777" w:rsidR="00FE4DF5" w:rsidRDefault="00FE4DF5" w:rsidP="00D05734">
      <w:pPr>
        <w:pStyle w:val="TAMainText"/>
        <w:ind w:firstLine="180"/>
      </w:pPr>
    </w:p>
    <w:p w14:paraId="01DB181E" w14:textId="10741FAE" w:rsidR="0061412D" w:rsidRPr="00914465" w:rsidRDefault="00023580" w:rsidP="004704FC">
      <w:pPr>
        <w:pStyle w:val="TAMainText"/>
        <w:ind w:firstLine="180"/>
        <w:rPr>
          <w:vertAlign w:val="superscript"/>
        </w:rPr>
      </w:pPr>
      <w:r>
        <w:t xml:space="preserve">A variant of the Robinson Annulation procedure, the Wichterle reaction calls for </w:t>
      </w:r>
      <w:r w:rsidR="006D4A25">
        <w:t xml:space="preserve">an olefin group </w:t>
      </w:r>
      <w:r w:rsidR="000C0CBC">
        <w:t>(</w:t>
      </w:r>
      <w:r w:rsidR="0075216A">
        <w:rPr>
          <w:b/>
        </w:rPr>
        <w:t>O</w:t>
      </w:r>
      <w:r w:rsidR="000C0CBC">
        <w:t xml:space="preserve">) </w:t>
      </w:r>
      <w:r w:rsidR="006D4A25">
        <w:t xml:space="preserve">instead of a vinyl methyl ketone. Although it is not the traditional </w:t>
      </w:r>
      <w:r w:rsidR="006D4A25">
        <w:rPr>
          <w:lang w:val="el-GR"/>
        </w:rPr>
        <w:t xml:space="preserve">α, </w:t>
      </w:r>
      <w:r w:rsidR="000B4576">
        <w:rPr>
          <w:lang w:val="el-GR"/>
        </w:rPr>
        <w:t>β</w:t>
      </w:r>
      <w:r w:rsidR="000B4576">
        <w:t xml:space="preserve">-unsaturated </w:t>
      </w:r>
      <w:r w:rsidR="006D4A25">
        <w:t xml:space="preserve">ketone, </w:t>
      </w:r>
      <w:r w:rsidR="00165110">
        <w:t>the olefin group mimics the Michael acceptor since undesi</w:t>
      </w:r>
      <w:r w:rsidR="000C0CBC">
        <w:t>rable condensation is still employed</w:t>
      </w:r>
      <w:r w:rsidR="00167EDD">
        <w:t xml:space="preserve"> (Scheme 9</w:t>
      </w:r>
      <w:r w:rsidR="00412AFB">
        <w:t>)</w:t>
      </w:r>
      <w:r w:rsidR="000C0CBC">
        <w:t>.</w:t>
      </w:r>
      <w:r w:rsidR="00914465">
        <w:rPr>
          <w:vertAlign w:val="superscript"/>
        </w:rPr>
        <w:t>8</w:t>
      </w:r>
    </w:p>
    <w:p w14:paraId="0015B744" w14:textId="77777777" w:rsidR="00167EDD" w:rsidRDefault="00167EDD" w:rsidP="004704FC">
      <w:pPr>
        <w:pStyle w:val="TAMainText"/>
        <w:ind w:firstLine="180"/>
      </w:pPr>
    </w:p>
    <w:p w14:paraId="4D38F90F" w14:textId="43B8EBDA" w:rsidR="0061412D" w:rsidRDefault="00167EDD" w:rsidP="00D05734">
      <w:pPr>
        <w:pStyle w:val="TAMainText"/>
        <w:ind w:firstLine="0"/>
        <w:rPr>
          <w:sz w:val="18"/>
          <w:szCs w:val="18"/>
        </w:rPr>
      </w:pPr>
      <w:r>
        <w:rPr>
          <w:b/>
          <w:sz w:val="18"/>
          <w:szCs w:val="18"/>
        </w:rPr>
        <w:t>Scheme 9</w:t>
      </w:r>
      <w:r w:rsidR="0061412D">
        <w:rPr>
          <w:b/>
          <w:sz w:val="18"/>
          <w:szCs w:val="18"/>
        </w:rPr>
        <w:t xml:space="preserve">. </w:t>
      </w:r>
      <w:r w:rsidR="0061412D">
        <w:rPr>
          <w:sz w:val="18"/>
          <w:szCs w:val="18"/>
        </w:rPr>
        <w:t>General Wichterle Reaction.</w:t>
      </w:r>
    </w:p>
    <w:p w14:paraId="0664AF85" w14:textId="53A1719C" w:rsidR="0061412D" w:rsidRDefault="00DB20E6" w:rsidP="00D05734">
      <w:pPr>
        <w:pStyle w:val="TAMainText"/>
        <w:ind w:firstLine="0"/>
        <w:rPr>
          <w:sz w:val="18"/>
          <w:szCs w:val="18"/>
        </w:rPr>
      </w:pPr>
      <w:r>
        <w:rPr>
          <w:noProof/>
          <w:sz w:val="18"/>
          <w:szCs w:val="18"/>
        </w:rPr>
        <w:drawing>
          <wp:anchor distT="0" distB="0" distL="114300" distR="114300" simplePos="0" relativeHeight="251702272" behindDoc="0" locked="0" layoutInCell="1" allowOverlap="1" wp14:anchorId="444EC36F" wp14:editId="4B78A77A">
            <wp:simplePos x="0" y="0"/>
            <wp:positionH relativeFrom="column">
              <wp:posOffset>0</wp:posOffset>
            </wp:positionH>
            <wp:positionV relativeFrom="paragraph">
              <wp:posOffset>193675</wp:posOffset>
            </wp:positionV>
            <wp:extent cx="3282950" cy="543560"/>
            <wp:effectExtent l="0" t="0" r="0" b="0"/>
            <wp:wrapThrough wrapText="bothSides">
              <wp:wrapPolygon edited="0">
                <wp:start x="7687" y="0"/>
                <wp:lineTo x="0" y="1009"/>
                <wp:lineTo x="0" y="16150"/>
                <wp:lineTo x="3677" y="16150"/>
                <wp:lineTo x="3677" y="20187"/>
                <wp:lineTo x="10194" y="20187"/>
                <wp:lineTo x="16210" y="20187"/>
                <wp:lineTo x="17380" y="20187"/>
                <wp:lineTo x="20054" y="17159"/>
                <wp:lineTo x="19887" y="16150"/>
                <wp:lineTo x="21391" y="12112"/>
                <wp:lineTo x="21391" y="5047"/>
                <wp:lineTo x="14038" y="0"/>
                <wp:lineTo x="7687" y="0"/>
              </wp:wrapPolygon>
            </wp:wrapThrough>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295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5E440" w14:textId="36DD71FF" w:rsidR="000C0CBC" w:rsidRDefault="000C0CBC" w:rsidP="00D05734">
      <w:pPr>
        <w:pStyle w:val="TAMainText"/>
        <w:ind w:firstLine="0"/>
        <w:rPr>
          <w:b/>
        </w:rPr>
      </w:pPr>
      <w:r>
        <w:rPr>
          <w:b/>
        </w:rPr>
        <w:lastRenderedPageBreak/>
        <w:t>Hauser Annulation</w:t>
      </w:r>
    </w:p>
    <w:p w14:paraId="686B1F92" w14:textId="77777777" w:rsidR="000C0CBC" w:rsidRDefault="000C0CBC" w:rsidP="00D05734">
      <w:pPr>
        <w:pStyle w:val="TAMainText"/>
        <w:ind w:firstLine="180"/>
        <w:rPr>
          <w:b/>
        </w:rPr>
      </w:pPr>
    </w:p>
    <w:p w14:paraId="530FDFA5" w14:textId="1FD5D40C" w:rsidR="003500AF" w:rsidRDefault="006A6F32" w:rsidP="00D05734">
      <w:pPr>
        <w:pStyle w:val="TAMainText"/>
        <w:ind w:firstLine="180"/>
      </w:pPr>
      <w:r>
        <w:t>Similar to the Robinson Annulation reaction, Hauser Annulation involves using a Michael acceptor (</w:t>
      </w:r>
      <w:r w:rsidR="0075216A">
        <w:rPr>
          <w:b/>
        </w:rPr>
        <w:t>P</w:t>
      </w:r>
      <w:r>
        <w:t xml:space="preserve">); however, instead of undergoing an intramolecular aldol condensation step, </w:t>
      </w:r>
      <w:r w:rsidR="000B4576">
        <w:t xml:space="preserve">this protocol calls for Dieckmann condensation, an intramolecular chemical reaction involving diesters </w:t>
      </w:r>
      <w:r w:rsidR="0075216A">
        <w:t>(</w:t>
      </w:r>
      <w:r w:rsidR="0075216A">
        <w:rPr>
          <w:b/>
        </w:rPr>
        <w:t>Q)</w:t>
      </w:r>
      <w:r w:rsidR="000B4576">
        <w:t xml:space="preserve"> and a base to synthetically form </w:t>
      </w:r>
      <w:r w:rsidR="000B4576">
        <w:rPr>
          <w:lang w:val="el-GR"/>
        </w:rPr>
        <w:t>β</w:t>
      </w:r>
      <w:r w:rsidR="000B4576">
        <w:t>-ketoesters. Finally, an elimination of the sulfonic group will form the</w:t>
      </w:r>
      <w:r w:rsidR="00412AFB">
        <w:t xml:space="preserve"> </w:t>
      </w:r>
      <w:r w:rsidR="00412AFB">
        <w:rPr>
          <w:lang w:val="el-GR"/>
        </w:rPr>
        <w:t>α, β</w:t>
      </w:r>
      <w:r w:rsidR="00412AFB">
        <w:t>-unsaturated</w:t>
      </w:r>
      <w:r w:rsidR="000B4576">
        <w:t xml:space="preserve"> product</w:t>
      </w:r>
      <w:r w:rsidR="00412AFB">
        <w:t xml:space="preserve"> (</w:t>
      </w:r>
      <w:r w:rsidR="00412AFB">
        <w:rPr>
          <w:b/>
        </w:rPr>
        <w:t>R</w:t>
      </w:r>
      <w:r w:rsidR="00412AFB">
        <w:t>), similarly to the</w:t>
      </w:r>
      <w:r w:rsidR="006A7AD8">
        <w:t xml:space="preserve"> product of the</w:t>
      </w:r>
      <w:r w:rsidR="00412AFB">
        <w:t xml:space="preserve"> Robins</w:t>
      </w:r>
      <w:r w:rsidR="00DB20E6">
        <w:t>on Annulation reaction (Scheme 10</w:t>
      </w:r>
      <w:r w:rsidR="00412AFB">
        <w:t>)</w:t>
      </w:r>
      <w:r w:rsidR="008A223F">
        <w:t>.</w:t>
      </w:r>
      <w:r w:rsidR="00167EDD">
        <w:rPr>
          <w:vertAlign w:val="superscript"/>
        </w:rPr>
        <w:t>9</w:t>
      </w:r>
      <w:r w:rsidR="000B4576">
        <w:t xml:space="preserve"> </w:t>
      </w:r>
    </w:p>
    <w:p w14:paraId="7F9EFB00" w14:textId="77777777" w:rsidR="0061412D" w:rsidRDefault="0061412D" w:rsidP="00D05734">
      <w:pPr>
        <w:pStyle w:val="TAMainText"/>
        <w:ind w:firstLine="180"/>
      </w:pPr>
    </w:p>
    <w:p w14:paraId="44F1AB62" w14:textId="702AD593" w:rsidR="0061412D" w:rsidRDefault="00DB20E6" w:rsidP="00D05734">
      <w:pPr>
        <w:pStyle w:val="TAMainText"/>
        <w:ind w:firstLine="0"/>
        <w:rPr>
          <w:sz w:val="18"/>
          <w:szCs w:val="18"/>
        </w:rPr>
      </w:pPr>
      <w:r>
        <w:rPr>
          <w:b/>
          <w:sz w:val="18"/>
          <w:szCs w:val="18"/>
        </w:rPr>
        <w:t>Scheme 10</w:t>
      </w:r>
      <w:r w:rsidR="0061412D">
        <w:rPr>
          <w:b/>
          <w:sz w:val="18"/>
          <w:szCs w:val="18"/>
        </w:rPr>
        <w:t xml:space="preserve">. </w:t>
      </w:r>
      <w:r w:rsidR="0061412D">
        <w:rPr>
          <w:sz w:val="18"/>
          <w:szCs w:val="18"/>
        </w:rPr>
        <w:t>General Hauser Annulation reaction.</w:t>
      </w:r>
    </w:p>
    <w:p w14:paraId="056F0EC2" w14:textId="0DA37ED7" w:rsidR="00F1405E" w:rsidRDefault="00DB20E6" w:rsidP="00D05734">
      <w:pPr>
        <w:pStyle w:val="TAMainText"/>
        <w:ind w:firstLine="0"/>
        <w:rPr>
          <w:sz w:val="18"/>
          <w:szCs w:val="18"/>
        </w:rPr>
      </w:pPr>
      <w:r>
        <w:rPr>
          <w:noProof/>
          <w:sz w:val="18"/>
          <w:szCs w:val="18"/>
        </w:rPr>
        <w:drawing>
          <wp:anchor distT="0" distB="0" distL="114300" distR="114300" simplePos="0" relativeHeight="251706368" behindDoc="0" locked="0" layoutInCell="1" allowOverlap="1" wp14:anchorId="4D149C70" wp14:editId="5445C8CF">
            <wp:simplePos x="0" y="0"/>
            <wp:positionH relativeFrom="column">
              <wp:posOffset>44450</wp:posOffset>
            </wp:positionH>
            <wp:positionV relativeFrom="paragraph">
              <wp:posOffset>126365</wp:posOffset>
            </wp:positionV>
            <wp:extent cx="3073400" cy="617220"/>
            <wp:effectExtent l="0" t="0" r="0" b="0"/>
            <wp:wrapThrough wrapText="bothSides">
              <wp:wrapPolygon edited="0">
                <wp:start x="893" y="0"/>
                <wp:lineTo x="0" y="7111"/>
                <wp:lineTo x="0" y="13333"/>
                <wp:lineTo x="357" y="17778"/>
                <wp:lineTo x="2321" y="19556"/>
                <wp:lineTo x="5534" y="20444"/>
                <wp:lineTo x="18744" y="20444"/>
                <wp:lineTo x="19458" y="19556"/>
                <wp:lineTo x="21421" y="16000"/>
                <wp:lineTo x="21421" y="6222"/>
                <wp:lineTo x="20172" y="4444"/>
                <wp:lineTo x="13031" y="0"/>
                <wp:lineTo x="893" y="0"/>
              </wp:wrapPolygon>
            </wp:wrapThrough>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340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5DB95" w14:textId="56F1D5BE" w:rsidR="00F1405E" w:rsidRDefault="00F1405E" w:rsidP="00D05734">
      <w:pPr>
        <w:pStyle w:val="TAMainText"/>
        <w:ind w:firstLine="0"/>
        <w:rPr>
          <w:sz w:val="18"/>
          <w:szCs w:val="18"/>
        </w:rPr>
      </w:pPr>
    </w:p>
    <w:p w14:paraId="4FD8D06C" w14:textId="39D3BC03" w:rsidR="00DB20E6" w:rsidRDefault="00DB20E6" w:rsidP="00D05734">
      <w:pPr>
        <w:pStyle w:val="TAMainText"/>
        <w:ind w:firstLine="0"/>
        <w:rPr>
          <w:b/>
          <w:szCs w:val="19"/>
        </w:rPr>
      </w:pPr>
      <w:r>
        <w:rPr>
          <w:b/>
          <w:szCs w:val="19"/>
        </w:rPr>
        <w:t>Application of the Robinson Annulation Reaction</w:t>
      </w:r>
    </w:p>
    <w:p w14:paraId="4BC0ADAE" w14:textId="77777777" w:rsidR="00DB20E6" w:rsidRDefault="00DB20E6" w:rsidP="00D05734">
      <w:pPr>
        <w:pStyle w:val="TAMainText"/>
        <w:ind w:firstLine="0"/>
        <w:rPr>
          <w:b/>
          <w:szCs w:val="19"/>
        </w:rPr>
      </w:pPr>
    </w:p>
    <w:p w14:paraId="6553B555" w14:textId="7F129FA4" w:rsidR="002A7F10" w:rsidRDefault="002A7F10" w:rsidP="002A7F10">
      <w:pPr>
        <w:pStyle w:val="TAMainText"/>
        <w:ind w:firstLine="180"/>
        <w:rPr>
          <w:szCs w:val="19"/>
        </w:rPr>
      </w:pPr>
      <w:r>
        <w:rPr>
          <w:szCs w:val="19"/>
        </w:rPr>
        <w:t xml:space="preserve">For chemists involved in total synthesis, another </w:t>
      </w:r>
      <w:r w:rsidR="00AC3124">
        <w:rPr>
          <w:szCs w:val="19"/>
        </w:rPr>
        <w:t>feature</w:t>
      </w:r>
      <w:r>
        <w:rPr>
          <w:szCs w:val="19"/>
        </w:rPr>
        <w:t xml:space="preserve"> </w:t>
      </w:r>
      <w:r w:rsidR="00AC3124">
        <w:rPr>
          <w:szCs w:val="19"/>
        </w:rPr>
        <w:t>that is taken</w:t>
      </w:r>
      <w:r>
        <w:rPr>
          <w:szCs w:val="19"/>
        </w:rPr>
        <w:t xml:space="preserve"> into consideration is how applicable the product truly is. </w:t>
      </w:r>
      <w:r w:rsidR="00AC3124">
        <w:rPr>
          <w:szCs w:val="19"/>
        </w:rPr>
        <w:t xml:space="preserve">The application of synthetic chemistry towards biology is </w:t>
      </w:r>
      <w:r w:rsidR="006A7AD8">
        <w:rPr>
          <w:szCs w:val="19"/>
        </w:rPr>
        <w:t>fundamental</w:t>
      </w:r>
      <w:r w:rsidR="00AC3124">
        <w:rPr>
          <w:szCs w:val="19"/>
        </w:rPr>
        <w:t>.</w:t>
      </w:r>
      <w:r w:rsidR="006A7AD8">
        <w:rPr>
          <w:szCs w:val="19"/>
        </w:rPr>
        <w:t xml:space="preserve"> There are a plethora of compounds in the health-related field that can be synthetically produced. </w:t>
      </w:r>
      <w:r w:rsidR="00AC3124">
        <w:rPr>
          <w:szCs w:val="19"/>
        </w:rPr>
        <w:t xml:space="preserve"> </w:t>
      </w:r>
      <w:r w:rsidR="006A7AD8">
        <w:rPr>
          <w:szCs w:val="19"/>
        </w:rPr>
        <w:t xml:space="preserve">Such promising discoveries are </w:t>
      </w:r>
      <w:r w:rsidR="00513249">
        <w:rPr>
          <w:szCs w:val="19"/>
        </w:rPr>
        <w:t>at the backbone for not only in</w:t>
      </w:r>
      <w:r w:rsidR="006A7AD8">
        <w:rPr>
          <w:szCs w:val="19"/>
        </w:rPr>
        <w:t xml:space="preserve"> further research</w:t>
      </w:r>
      <w:r w:rsidR="00513249">
        <w:rPr>
          <w:szCs w:val="19"/>
        </w:rPr>
        <w:t>, but also</w:t>
      </w:r>
      <w:r w:rsidR="006A7AD8">
        <w:rPr>
          <w:szCs w:val="19"/>
        </w:rPr>
        <w:t xml:space="preserve"> </w:t>
      </w:r>
      <w:r w:rsidR="00513249">
        <w:rPr>
          <w:szCs w:val="19"/>
        </w:rPr>
        <w:t>potential cures of</w:t>
      </w:r>
      <w:r w:rsidR="006A7AD8">
        <w:rPr>
          <w:szCs w:val="19"/>
        </w:rPr>
        <w:t xml:space="preserve"> diseases.</w:t>
      </w:r>
      <w:r w:rsidR="00FC42EB">
        <w:rPr>
          <w:szCs w:val="19"/>
        </w:rPr>
        <w:t xml:space="preserve"> </w:t>
      </w:r>
    </w:p>
    <w:p w14:paraId="2E6CF02F" w14:textId="77777777" w:rsidR="00513249" w:rsidRDefault="00513249" w:rsidP="00513249">
      <w:pPr>
        <w:pStyle w:val="TAMainText"/>
        <w:ind w:firstLine="0"/>
        <w:rPr>
          <w:szCs w:val="19"/>
        </w:rPr>
      </w:pPr>
    </w:p>
    <w:p w14:paraId="2447101F" w14:textId="67104199" w:rsidR="00513249" w:rsidRDefault="00513249" w:rsidP="00513249">
      <w:pPr>
        <w:pStyle w:val="TAMainText"/>
        <w:ind w:firstLine="0"/>
        <w:rPr>
          <w:b/>
          <w:szCs w:val="19"/>
        </w:rPr>
      </w:pPr>
      <w:r>
        <w:rPr>
          <w:b/>
          <w:szCs w:val="19"/>
        </w:rPr>
        <w:t>Cortisone</w:t>
      </w:r>
    </w:p>
    <w:p w14:paraId="63320D4B" w14:textId="77777777" w:rsidR="005F303E" w:rsidRDefault="005F303E" w:rsidP="00513249">
      <w:pPr>
        <w:pStyle w:val="TAMainText"/>
        <w:ind w:firstLine="180"/>
        <w:rPr>
          <w:szCs w:val="19"/>
        </w:rPr>
      </w:pPr>
    </w:p>
    <w:p w14:paraId="36848E53" w14:textId="1FC17404" w:rsidR="00135634" w:rsidRPr="003E263A" w:rsidRDefault="00135634" w:rsidP="00513249">
      <w:pPr>
        <w:pStyle w:val="TAMainText"/>
        <w:ind w:firstLine="180"/>
        <w:rPr>
          <w:szCs w:val="19"/>
        </w:rPr>
      </w:pPr>
      <w:r>
        <w:rPr>
          <w:szCs w:val="19"/>
        </w:rPr>
        <w:t>After Sir Robert Robinson established the Robinson Annulation reaction, the reaction played an important role in the development of biology-</w:t>
      </w:r>
      <w:r w:rsidR="003E263A">
        <w:rPr>
          <w:szCs w:val="19"/>
        </w:rPr>
        <w:t>applied</w:t>
      </w:r>
      <w:r>
        <w:rPr>
          <w:szCs w:val="19"/>
        </w:rPr>
        <w:t xml:space="preserve"> synthesis. Cortisone (Figure 1) is a hormone that is released from the Adrenal gland in response to stress.  When stress occurs, the hormone is released, causing the blood pressure to increase, preparing the body for fight or flight response. Cortisone is particularly relevant because chemically, the Robinson Annulation reaction is</w:t>
      </w:r>
      <w:r w:rsidR="003E263A">
        <w:rPr>
          <w:szCs w:val="19"/>
        </w:rPr>
        <w:t xml:space="preserve"> a key step that is</w:t>
      </w:r>
      <w:r>
        <w:rPr>
          <w:szCs w:val="19"/>
        </w:rPr>
        <w:t xml:space="preserve"> used to complete the synthesis of cortisone</w:t>
      </w:r>
      <w:r w:rsidR="003E263A">
        <w:rPr>
          <w:szCs w:val="19"/>
        </w:rPr>
        <w:t xml:space="preserve"> from cholesterol</w:t>
      </w:r>
      <w:r>
        <w:rPr>
          <w:szCs w:val="19"/>
        </w:rPr>
        <w:t>.</w:t>
      </w:r>
      <w:r w:rsidR="003E263A">
        <w:rPr>
          <w:szCs w:val="19"/>
          <w:vertAlign w:val="superscript"/>
        </w:rPr>
        <w:t>10</w:t>
      </w:r>
    </w:p>
    <w:p w14:paraId="70ECDD82" w14:textId="47C9A459" w:rsidR="00135634" w:rsidRDefault="00CE4204" w:rsidP="00135634">
      <w:pPr>
        <w:pStyle w:val="TAMainText"/>
        <w:ind w:firstLine="0"/>
        <w:rPr>
          <w:szCs w:val="19"/>
        </w:rPr>
      </w:pPr>
      <w:r w:rsidRPr="00135634">
        <w:rPr>
          <w:noProof/>
        </w:rPr>
        <w:drawing>
          <wp:anchor distT="0" distB="0" distL="114300" distR="114300" simplePos="0" relativeHeight="251710464" behindDoc="0" locked="0" layoutInCell="1" allowOverlap="1" wp14:anchorId="64DA9CC3" wp14:editId="0626061D">
            <wp:simplePos x="0" y="0"/>
            <wp:positionH relativeFrom="column">
              <wp:posOffset>952500</wp:posOffset>
            </wp:positionH>
            <wp:positionV relativeFrom="paragraph">
              <wp:posOffset>125095</wp:posOffset>
            </wp:positionV>
            <wp:extent cx="1327150" cy="1043305"/>
            <wp:effectExtent l="0" t="0" r="0" b="0"/>
            <wp:wrapThrough wrapText="bothSides">
              <wp:wrapPolygon edited="0">
                <wp:start x="13229" y="0"/>
                <wp:lineTo x="6201" y="8414"/>
                <wp:lineTo x="2067" y="15776"/>
                <wp:lineTo x="413" y="18931"/>
                <wp:lineTo x="0" y="19457"/>
                <wp:lineTo x="0" y="21035"/>
                <wp:lineTo x="2480" y="21035"/>
                <wp:lineTo x="9095" y="20509"/>
                <wp:lineTo x="16122" y="18931"/>
                <wp:lineTo x="16122" y="17354"/>
                <wp:lineTo x="21083" y="8940"/>
                <wp:lineTo x="21083" y="6836"/>
                <wp:lineTo x="19430" y="3155"/>
                <wp:lineTo x="16949" y="0"/>
                <wp:lineTo x="13229" y="0"/>
              </wp:wrapPolygon>
            </wp:wrapThrough>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B4189" w14:textId="0C94E95F" w:rsidR="00CE4204" w:rsidRDefault="00CE4204" w:rsidP="00135634">
      <w:pPr>
        <w:pStyle w:val="TAMainText"/>
        <w:ind w:firstLine="0"/>
        <w:rPr>
          <w:b/>
          <w:sz w:val="17"/>
          <w:szCs w:val="17"/>
        </w:rPr>
      </w:pPr>
    </w:p>
    <w:p w14:paraId="047DED9B" w14:textId="77777777" w:rsidR="00CE4204" w:rsidRDefault="00CE4204" w:rsidP="00135634">
      <w:pPr>
        <w:pStyle w:val="TAMainText"/>
        <w:ind w:firstLine="0"/>
        <w:rPr>
          <w:b/>
          <w:sz w:val="17"/>
          <w:szCs w:val="17"/>
        </w:rPr>
      </w:pPr>
    </w:p>
    <w:p w14:paraId="6E10F5B3" w14:textId="77777777" w:rsidR="00CE4204" w:rsidRDefault="00CE4204" w:rsidP="00135634">
      <w:pPr>
        <w:pStyle w:val="TAMainText"/>
        <w:ind w:firstLine="0"/>
        <w:rPr>
          <w:b/>
          <w:sz w:val="17"/>
          <w:szCs w:val="17"/>
        </w:rPr>
      </w:pPr>
    </w:p>
    <w:p w14:paraId="1BAEBC2E" w14:textId="77777777" w:rsidR="00CE4204" w:rsidRDefault="00CE4204" w:rsidP="00135634">
      <w:pPr>
        <w:pStyle w:val="TAMainText"/>
        <w:ind w:firstLine="0"/>
        <w:rPr>
          <w:b/>
          <w:sz w:val="17"/>
          <w:szCs w:val="17"/>
        </w:rPr>
      </w:pPr>
    </w:p>
    <w:p w14:paraId="1975F6C6" w14:textId="77777777" w:rsidR="00CE4204" w:rsidRDefault="00CE4204" w:rsidP="00135634">
      <w:pPr>
        <w:pStyle w:val="TAMainText"/>
        <w:ind w:firstLine="0"/>
        <w:rPr>
          <w:b/>
          <w:sz w:val="17"/>
          <w:szCs w:val="17"/>
        </w:rPr>
      </w:pPr>
    </w:p>
    <w:p w14:paraId="5D88B709" w14:textId="77777777" w:rsidR="00CE4204" w:rsidRDefault="00CE4204" w:rsidP="00135634">
      <w:pPr>
        <w:pStyle w:val="TAMainText"/>
        <w:ind w:firstLine="0"/>
        <w:rPr>
          <w:b/>
          <w:sz w:val="17"/>
          <w:szCs w:val="17"/>
        </w:rPr>
      </w:pPr>
    </w:p>
    <w:p w14:paraId="60E2BB72" w14:textId="77777777" w:rsidR="00CE4204" w:rsidRDefault="00CE4204" w:rsidP="00135634">
      <w:pPr>
        <w:pStyle w:val="TAMainText"/>
        <w:ind w:firstLine="0"/>
        <w:rPr>
          <w:b/>
          <w:sz w:val="17"/>
          <w:szCs w:val="17"/>
        </w:rPr>
      </w:pPr>
    </w:p>
    <w:p w14:paraId="7BC532F7" w14:textId="77777777" w:rsidR="00CE4204" w:rsidRDefault="00CE4204" w:rsidP="00135634">
      <w:pPr>
        <w:pStyle w:val="TAMainText"/>
        <w:ind w:firstLine="0"/>
        <w:rPr>
          <w:b/>
          <w:sz w:val="17"/>
          <w:szCs w:val="17"/>
        </w:rPr>
      </w:pPr>
    </w:p>
    <w:p w14:paraId="2FCAF5B3" w14:textId="084C3F08" w:rsidR="00135634" w:rsidRPr="00CE4204" w:rsidRDefault="00135634" w:rsidP="00CE4204">
      <w:pPr>
        <w:pStyle w:val="TAMainText"/>
        <w:ind w:firstLine="0"/>
        <w:jc w:val="center"/>
        <w:rPr>
          <w:sz w:val="17"/>
          <w:szCs w:val="17"/>
        </w:rPr>
      </w:pPr>
      <w:r w:rsidRPr="00CE4204">
        <w:rPr>
          <w:b/>
          <w:sz w:val="17"/>
          <w:szCs w:val="17"/>
        </w:rPr>
        <w:t xml:space="preserve">Figure 1. </w:t>
      </w:r>
      <w:r w:rsidR="001B33AA">
        <w:rPr>
          <w:sz w:val="17"/>
          <w:szCs w:val="17"/>
        </w:rPr>
        <w:t xml:space="preserve">Structure of </w:t>
      </w:r>
      <w:r w:rsidRPr="00CE4204">
        <w:rPr>
          <w:sz w:val="17"/>
          <w:szCs w:val="17"/>
        </w:rPr>
        <w:t>Cortisone.</w:t>
      </w:r>
    </w:p>
    <w:p w14:paraId="4F20FE15" w14:textId="5E59E109" w:rsidR="00135634" w:rsidRDefault="00135634" w:rsidP="00135634">
      <w:pPr>
        <w:pStyle w:val="TAMainText"/>
        <w:ind w:firstLine="0"/>
        <w:rPr>
          <w:sz w:val="18"/>
          <w:szCs w:val="18"/>
        </w:rPr>
      </w:pPr>
    </w:p>
    <w:p w14:paraId="5149A5EA" w14:textId="070CC6CB" w:rsidR="003E263A" w:rsidRPr="00CE4204" w:rsidRDefault="003E263A" w:rsidP="00D05734">
      <w:pPr>
        <w:pStyle w:val="TAMainText"/>
        <w:ind w:firstLine="0"/>
        <w:rPr>
          <w:szCs w:val="19"/>
        </w:rPr>
      </w:pPr>
      <w:r>
        <w:rPr>
          <w:b/>
          <w:szCs w:val="19"/>
        </w:rPr>
        <w:t>Morphine</w:t>
      </w:r>
    </w:p>
    <w:p w14:paraId="0E9AC988" w14:textId="77777777" w:rsidR="005F303E" w:rsidRDefault="005F303E" w:rsidP="003E263A">
      <w:pPr>
        <w:pStyle w:val="TAMainText"/>
        <w:ind w:firstLine="180"/>
        <w:rPr>
          <w:szCs w:val="19"/>
        </w:rPr>
      </w:pPr>
    </w:p>
    <w:p w14:paraId="2A277C90" w14:textId="1A03656D" w:rsidR="00CE4204" w:rsidRDefault="005F303E" w:rsidP="003E263A">
      <w:pPr>
        <w:pStyle w:val="TAMainText"/>
        <w:ind w:firstLine="180"/>
        <w:rPr>
          <w:szCs w:val="19"/>
        </w:rPr>
      </w:pPr>
      <w:r>
        <w:rPr>
          <w:szCs w:val="19"/>
        </w:rPr>
        <w:t xml:space="preserve">To enhance more to how impactful synthetic chemistry is to health-related fields, another endeavor that was made possible using the Robinson Annulation reaction was through </w:t>
      </w:r>
      <w:r w:rsidR="00CE4204">
        <w:rPr>
          <w:szCs w:val="19"/>
        </w:rPr>
        <w:t xml:space="preserve">the synthesis of </w:t>
      </w:r>
      <w:r>
        <w:rPr>
          <w:szCs w:val="19"/>
        </w:rPr>
        <w:t>morphine.</w:t>
      </w:r>
      <w:r>
        <w:rPr>
          <w:szCs w:val="19"/>
          <w:vertAlign w:val="superscript"/>
        </w:rPr>
        <w:t>11</w:t>
      </w:r>
      <w:r>
        <w:rPr>
          <w:szCs w:val="19"/>
        </w:rPr>
        <w:t xml:space="preserve"> Morphine is essentially an opioid. The analgesic is used to help pain threshold by increasing the tolerance to said pain</w:t>
      </w:r>
      <w:r w:rsidR="00CE4204">
        <w:rPr>
          <w:szCs w:val="19"/>
        </w:rPr>
        <w:t>, and thereby decreasing perception of pain</w:t>
      </w:r>
      <w:r>
        <w:rPr>
          <w:szCs w:val="19"/>
        </w:rPr>
        <w:t xml:space="preserve">. Opioids are the world’s oldest drug, found in the resin on </w:t>
      </w:r>
      <w:r>
        <w:rPr>
          <w:i/>
          <w:szCs w:val="19"/>
        </w:rPr>
        <w:t xml:space="preserve">Papaver somniferum </w:t>
      </w:r>
      <w:r>
        <w:rPr>
          <w:szCs w:val="19"/>
        </w:rPr>
        <w:t xml:space="preserve">(opium poppy). In </w:t>
      </w:r>
      <w:r w:rsidR="00CE4204">
        <w:rPr>
          <w:szCs w:val="19"/>
        </w:rPr>
        <w:t>chemistry</w:t>
      </w:r>
      <w:r>
        <w:rPr>
          <w:szCs w:val="19"/>
        </w:rPr>
        <w:t xml:space="preserve"> prospective</w:t>
      </w:r>
      <w:r w:rsidR="00CE4204">
        <w:rPr>
          <w:szCs w:val="19"/>
        </w:rPr>
        <w:t xml:space="preserve">, morphine </w:t>
      </w:r>
      <w:r w:rsidR="00E342A2">
        <w:rPr>
          <w:szCs w:val="19"/>
        </w:rPr>
        <w:t>consists of a</w:t>
      </w:r>
      <w:r w:rsidR="00CE4204">
        <w:rPr>
          <w:szCs w:val="19"/>
        </w:rPr>
        <w:t xml:space="preserve"> benzylisoquinoline</w:t>
      </w:r>
      <w:r w:rsidR="00E342A2">
        <w:rPr>
          <w:szCs w:val="19"/>
        </w:rPr>
        <w:t xml:space="preserve"> alkaloid backbone </w:t>
      </w:r>
      <w:r w:rsidR="00CE4204">
        <w:rPr>
          <w:szCs w:val="19"/>
        </w:rPr>
        <w:t>with two additional ring closures (Figure 2).</w:t>
      </w:r>
      <w:r w:rsidR="00E342A2">
        <w:rPr>
          <w:szCs w:val="19"/>
        </w:rPr>
        <w:t xml:space="preserve"> </w:t>
      </w:r>
    </w:p>
    <w:p w14:paraId="7CA6BF59" w14:textId="615DB9E5" w:rsidR="00CE4204" w:rsidRDefault="00CE4204" w:rsidP="00CE4204">
      <w:pPr>
        <w:pStyle w:val="TAMainText"/>
        <w:ind w:firstLine="0"/>
        <w:rPr>
          <w:szCs w:val="19"/>
        </w:rPr>
      </w:pPr>
    </w:p>
    <w:p w14:paraId="68556169" w14:textId="0AF423F8" w:rsidR="00CE4204" w:rsidRDefault="00CE4204" w:rsidP="00CE4204">
      <w:pPr>
        <w:pStyle w:val="TAMainText"/>
        <w:ind w:firstLine="0"/>
        <w:rPr>
          <w:b/>
          <w:sz w:val="17"/>
          <w:szCs w:val="17"/>
        </w:rPr>
      </w:pPr>
      <w:r w:rsidRPr="00CE4204">
        <w:rPr>
          <w:noProof/>
        </w:rPr>
        <w:lastRenderedPageBreak/>
        <w:drawing>
          <wp:anchor distT="0" distB="0" distL="114300" distR="114300" simplePos="0" relativeHeight="251712512" behindDoc="0" locked="0" layoutInCell="1" allowOverlap="1" wp14:anchorId="20B238CD" wp14:editId="531488BB">
            <wp:simplePos x="0" y="0"/>
            <wp:positionH relativeFrom="column">
              <wp:posOffset>1047750</wp:posOffset>
            </wp:positionH>
            <wp:positionV relativeFrom="paragraph">
              <wp:posOffset>12700</wp:posOffset>
            </wp:positionV>
            <wp:extent cx="1194435" cy="1016000"/>
            <wp:effectExtent l="0" t="0" r="0" b="0"/>
            <wp:wrapThrough wrapText="bothSides">
              <wp:wrapPolygon edited="0">
                <wp:start x="0" y="0"/>
                <wp:lineTo x="0" y="1620"/>
                <wp:lineTo x="2756" y="9180"/>
                <wp:lineTo x="919" y="12420"/>
                <wp:lineTo x="919" y="15120"/>
                <wp:lineTo x="3675" y="17820"/>
                <wp:lineTo x="919" y="18360"/>
                <wp:lineTo x="0" y="18900"/>
                <wp:lineTo x="0" y="21060"/>
                <wp:lineTo x="4134" y="21060"/>
                <wp:lineTo x="21129" y="18360"/>
                <wp:lineTo x="21129" y="16200"/>
                <wp:lineTo x="14699" y="9180"/>
                <wp:lineTo x="15158" y="5940"/>
                <wp:lineTo x="8727" y="540"/>
                <wp:lineTo x="4134" y="0"/>
                <wp:lineTo x="0" y="0"/>
              </wp:wrapPolygon>
            </wp:wrapThrough>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443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6D71B" w14:textId="77777777" w:rsidR="00CE4204" w:rsidRDefault="00CE4204" w:rsidP="00CE4204">
      <w:pPr>
        <w:pStyle w:val="TAMainText"/>
        <w:ind w:firstLine="0"/>
        <w:rPr>
          <w:b/>
          <w:sz w:val="17"/>
          <w:szCs w:val="17"/>
        </w:rPr>
      </w:pPr>
    </w:p>
    <w:p w14:paraId="05F6F81C" w14:textId="77777777" w:rsidR="00CE4204" w:rsidRDefault="00CE4204" w:rsidP="00CE4204">
      <w:pPr>
        <w:pStyle w:val="TAMainText"/>
        <w:ind w:firstLine="0"/>
        <w:rPr>
          <w:b/>
          <w:sz w:val="17"/>
          <w:szCs w:val="17"/>
        </w:rPr>
      </w:pPr>
    </w:p>
    <w:p w14:paraId="6E9900B8" w14:textId="6B4681F2" w:rsidR="00CE4204" w:rsidRDefault="00CE4204" w:rsidP="00CE4204">
      <w:pPr>
        <w:pStyle w:val="TAMainText"/>
        <w:ind w:firstLine="0"/>
        <w:rPr>
          <w:b/>
          <w:sz w:val="17"/>
          <w:szCs w:val="17"/>
        </w:rPr>
      </w:pPr>
    </w:p>
    <w:p w14:paraId="7EBD75AC" w14:textId="77777777" w:rsidR="00CE4204" w:rsidRDefault="00CE4204" w:rsidP="00CE4204">
      <w:pPr>
        <w:pStyle w:val="TAMainText"/>
        <w:ind w:firstLine="0"/>
        <w:rPr>
          <w:b/>
          <w:sz w:val="17"/>
          <w:szCs w:val="17"/>
        </w:rPr>
      </w:pPr>
    </w:p>
    <w:p w14:paraId="455837CD" w14:textId="77777777" w:rsidR="00CE4204" w:rsidRDefault="00CE4204" w:rsidP="00CE4204">
      <w:pPr>
        <w:pStyle w:val="TAMainText"/>
        <w:ind w:firstLine="0"/>
        <w:rPr>
          <w:b/>
          <w:sz w:val="17"/>
          <w:szCs w:val="17"/>
        </w:rPr>
      </w:pPr>
    </w:p>
    <w:p w14:paraId="64619819" w14:textId="77777777" w:rsidR="00CE4204" w:rsidRDefault="00CE4204" w:rsidP="00CE4204">
      <w:pPr>
        <w:pStyle w:val="TAMainText"/>
        <w:ind w:firstLine="0"/>
        <w:rPr>
          <w:b/>
          <w:sz w:val="17"/>
          <w:szCs w:val="17"/>
        </w:rPr>
      </w:pPr>
    </w:p>
    <w:p w14:paraId="0F14F51D" w14:textId="77777777" w:rsidR="00CE4204" w:rsidRDefault="00CE4204" w:rsidP="00CE4204">
      <w:pPr>
        <w:pStyle w:val="TAMainText"/>
        <w:ind w:firstLine="0"/>
        <w:jc w:val="center"/>
        <w:rPr>
          <w:b/>
          <w:sz w:val="17"/>
          <w:szCs w:val="17"/>
        </w:rPr>
      </w:pPr>
    </w:p>
    <w:p w14:paraId="56DB94B9" w14:textId="701AC0EA" w:rsidR="00CE4204" w:rsidRPr="00CE4204" w:rsidRDefault="00CE4204" w:rsidP="00CE4204">
      <w:pPr>
        <w:pStyle w:val="TAMainText"/>
        <w:ind w:firstLine="0"/>
        <w:jc w:val="center"/>
        <w:rPr>
          <w:sz w:val="17"/>
          <w:szCs w:val="17"/>
        </w:rPr>
      </w:pPr>
      <w:r w:rsidRPr="00CE4204">
        <w:rPr>
          <w:b/>
          <w:sz w:val="17"/>
          <w:szCs w:val="17"/>
        </w:rPr>
        <w:t xml:space="preserve">Figure 2. </w:t>
      </w:r>
      <w:r w:rsidR="001B33AA">
        <w:rPr>
          <w:sz w:val="17"/>
          <w:szCs w:val="17"/>
        </w:rPr>
        <w:t xml:space="preserve">Structure of </w:t>
      </w:r>
      <w:r w:rsidRPr="00CE4204">
        <w:rPr>
          <w:sz w:val="17"/>
          <w:szCs w:val="17"/>
        </w:rPr>
        <w:t>Morphine.</w:t>
      </w:r>
    </w:p>
    <w:p w14:paraId="6F13B4FB" w14:textId="77777777" w:rsidR="00E342A2" w:rsidRDefault="00E342A2" w:rsidP="00CE4204">
      <w:pPr>
        <w:pStyle w:val="TAMainText"/>
        <w:ind w:firstLine="0"/>
        <w:rPr>
          <w:szCs w:val="19"/>
        </w:rPr>
      </w:pPr>
    </w:p>
    <w:p w14:paraId="1280E76D" w14:textId="311433CB" w:rsidR="003E263A" w:rsidRDefault="00E342A2" w:rsidP="00CE4204">
      <w:pPr>
        <w:pStyle w:val="TAMainText"/>
        <w:ind w:firstLine="0"/>
        <w:rPr>
          <w:b/>
          <w:szCs w:val="19"/>
        </w:rPr>
      </w:pPr>
      <w:r>
        <w:rPr>
          <w:b/>
          <w:szCs w:val="19"/>
        </w:rPr>
        <w:t>Conclusion</w:t>
      </w:r>
    </w:p>
    <w:p w14:paraId="570262C9" w14:textId="4484D43A" w:rsidR="000B4576" w:rsidRPr="008E26DC" w:rsidRDefault="00601A50" w:rsidP="00E607FE">
      <w:pPr>
        <w:pStyle w:val="TAMainText"/>
        <w:ind w:firstLine="720"/>
        <w:rPr>
          <w:b/>
          <w:szCs w:val="19"/>
        </w:rPr>
      </w:pPr>
      <w:r>
        <w:rPr>
          <w:szCs w:val="19"/>
        </w:rPr>
        <w:t xml:space="preserve">In conclusion, </w:t>
      </w:r>
      <w:r w:rsidR="00E342A2">
        <w:rPr>
          <w:szCs w:val="19"/>
        </w:rPr>
        <w:t>synthesizing natural products has opened the do</w:t>
      </w:r>
      <w:r w:rsidR="00217BBF">
        <w:rPr>
          <w:szCs w:val="19"/>
        </w:rPr>
        <w:t>or to not only future synthesis work,</w:t>
      </w:r>
      <w:r w:rsidR="00E342A2">
        <w:rPr>
          <w:szCs w:val="19"/>
        </w:rPr>
        <w:t xml:space="preserve"> but also to learn how the body works. For example, it is evident that the body does not </w:t>
      </w:r>
      <w:r>
        <w:rPr>
          <w:szCs w:val="19"/>
        </w:rPr>
        <w:t>treat</w:t>
      </w:r>
      <w:r w:rsidR="00E342A2">
        <w:rPr>
          <w:szCs w:val="19"/>
        </w:rPr>
        <w:t xml:space="preserve"> Vitamin C </w:t>
      </w:r>
      <w:r>
        <w:rPr>
          <w:szCs w:val="19"/>
        </w:rPr>
        <w:t>any differently than</w:t>
      </w:r>
      <w:r w:rsidR="008E26DC">
        <w:rPr>
          <w:szCs w:val="19"/>
        </w:rPr>
        <w:t xml:space="preserve"> ascorbic acid</w:t>
      </w:r>
      <w:r>
        <w:rPr>
          <w:szCs w:val="19"/>
        </w:rPr>
        <w:t xml:space="preserve"> when digested</w:t>
      </w:r>
      <w:r w:rsidR="008E26DC">
        <w:rPr>
          <w:szCs w:val="19"/>
        </w:rPr>
        <w:t xml:space="preserve">. </w:t>
      </w:r>
      <w:r w:rsidR="00E342A2">
        <w:rPr>
          <w:szCs w:val="19"/>
        </w:rPr>
        <w:t xml:space="preserve">In addition, there is a Michael acceptor present in </w:t>
      </w:r>
      <w:r w:rsidR="00237AEB">
        <w:rPr>
          <w:szCs w:val="19"/>
        </w:rPr>
        <w:t>Figure 1</w:t>
      </w:r>
      <w:r w:rsidR="00E342A2">
        <w:rPr>
          <w:szCs w:val="19"/>
        </w:rPr>
        <w:t>, indicating the potential to form cortisone derivatives</w:t>
      </w:r>
      <w:r w:rsidR="00237AEB">
        <w:rPr>
          <w:szCs w:val="19"/>
        </w:rPr>
        <w:t xml:space="preserve"> with further synthesis</w:t>
      </w:r>
      <w:r w:rsidR="00E342A2">
        <w:rPr>
          <w:szCs w:val="19"/>
        </w:rPr>
        <w:t>.</w:t>
      </w:r>
      <w:r w:rsidR="00E328F7">
        <w:rPr>
          <w:szCs w:val="19"/>
        </w:rPr>
        <w:t xml:space="preserve"> The Robinson</w:t>
      </w:r>
      <w:bookmarkStart w:id="0" w:name="_GoBack"/>
      <w:bookmarkEnd w:id="0"/>
      <w:r w:rsidR="00237AEB">
        <w:rPr>
          <w:szCs w:val="19"/>
        </w:rPr>
        <w:t xml:space="preserve"> Annulation reaction has many facets, and because of those facets, </w:t>
      </w:r>
      <w:r w:rsidR="008E26DC">
        <w:rPr>
          <w:szCs w:val="19"/>
        </w:rPr>
        <w:t>it is obvious that this protocol is</w:t>
      </w:r>
      <w:r w:rsidR="00217BBF">
        <w:rPr>
          <w:szCs w:val="19"/>
        </w:rPr>
        <w:t xml:space="preserve"> renown not only in</w:t>
      </w:r>
      <w:r w:rsidR="00237AEB">
        <w:rPr>
          <w:szCs w:val="19"/>
        </w:rPr>
        <w:t xml:space="preserve"> chemistry</w:t>
      </w:r>
      <w:r w:rsidR="008E26DC">
        <w:rPr>
          <w:szCs w:val="19"/>
        </w:rPr>
        <w:t xml:space="preserve">, but </w:t>
      </w:r>
      <w:r w:rsidR="00217BBF">
        <w:rPr>
          <w:szCs w:val="19"/>
        </w:rPr>
        <w:t>significant</w:t>
      </w:r>
      <w:r w:rsidR="008E26DC">
        <w:rPr>
          <w:szCs w:val="19"/>
        </w:rPr>
        <w:t xml:space="preserve"> in the medical field. It is not to say this reaction is more preferred</w:t>
      </w:r>
      <w:r w:rsidR="00217BBF">
        <w:rPr>
          <w:szCs w:val="19"/>
        </w:rPr>
        <w:t xml:space="preserve"> or favorable</w:t>
      </w:r>
      <w:r w:rsidR="008E26DC">
        <w:rPr>
          <w:szCs w:val="19"/>
        </w:rPr>
        <w:t xml:space="preserve"> than other cyclic forming reactions</w:t>
      </w:r>
      <w:r w:rsidR="00217BBF">
        <w:rPr>
          <w:szCs w:val="19"/>
        </w:rPr>
        <w:t>,</w:t>
      </w:r>
      <w:r w:rsidR="008E26DC">
        <w:rPr>
          <w:szCs w:val="19"/>
        </w:rPr>
        <w:t xml:space="preserve"> like Diels-Alder, but </w:t>
      </w:r>
      <w:r w:rsidR="00217BBF">
        <w:rPr>
          <w:szCs w:val="19"/>
        </w:rPr>
        <w:t xml:space="preserve">it is </w:t>
      </w:r>
      <w:r w:rsidR="008E26DC">
        <w:rPr>
          <w:szCs w:val="19"/>
        </w:rPr>
        <w:t>definitely a reaction that can be applied in many areas.</w:t>
      </w:r>
    </w:p>
    <w:p w14:paraId="615BA313" w14:textId="77777777" w:rsidR="00601A50" w:rsidRDefault="003500AF" w:rsidP="00601A50">
      <w:pPr>
        <w:pStyle w:val="TDAcknowledgments"/>
      </w:pPr>
      <w:r w:rsidRPr="002546F8">
        <w:rPr>
          <w:b/>
        </w:rPr>
        <w:t>Acknowledgements</w:t>
      </w:r>
      <w:r>
        <w:t xml:space="preserve">. I would like to thank Dr. </w:t>
      </w:r>
      <w:r w:rsidR="003239C6">
        <w:t>Luke McCormick</w:t>
      </w:r>
      <w:r>
        <w:t xml:space="preserve"> </w:t>
      </w:r>
      <w:r w:rsidR="003239C6">
        <w:t xml:space="preserve">for his </w:t>
      </w:r>
      <w:r>
        <w:t>tremendous assistance to my understand</w:t>
      </w:r>
      <w:r w:rsidR="003239C6">
        <w:t>ing</w:t>
      </w:r>
      <w:r>
        <w:t xml:space="preserve"> of </w:t>
      </w:r>
      <w:r w:rsidR="003239C6">
        <w:t>cyclohexane ring formation.</w:t>
      </w:r>
    </w:p>
    <w:p w14:paraId="35D184AC" w14:textId="138C0ADD" w:rsidR="00601A50" w:rsidRPr="00601A50" w:rsidRDefault="003239C6" w:rsidP="00601A50">
      <w:pPr>
        <w:pStyle w:val="TDAcknowledgments"/>
        <w:ind w:firstLine="0"/>
      </w:pPr>
      <w:r>
        <w:t xml:space="preserve"> </w:t>
      </w:r>
    </w:p>
    <w:p w14:paraId="3A0DC0AB" w14:textId="77777777" w:rsidR="003500AF" w:rsidRPr="000E2CA3" w:rsidRDefault="003500AF" w:rsidP="00D05734">
      <w:pPr>
        <w:pStyle w:val="TFReferencesSection"/>
        <w:rPr>
          <w:b/>
        </w:rPr>
      </w:pPr>
      <w:r w:rsidRPr="000E2CA3">
        <w:rPr>
          <w:b/>
        </w:rPr>
        <w:t>References</w:t>
      </w:r>
    </w:p>
    <w:p w14:paraId="5BFD544F" w14:textId="77B01535" w:rsidR="003500AF" w:rsidRDefault="00C12A05" w:rsidP="00D05734">
      <w:pPr>
        <w:pStyle w:val="TFReferencesSection"/>
        <w:numPr>
          <w:ilvl w:val="0"/>
          <w:numId w:val="12"/>
        </w:numPr>
      </w:pPr>
      <w:r>
        <w:rPr>
          <w:lang w:val="de-DE"/>
        </w:rPr>
        <w:t>Rapson, W.S.; Robinson, R.</w:t>
      </w:r>
      <w:r w:rsidR="003500AF" w:rsidRPr="0090490A">
        <w:rPr>
          <w:lang w:val="de-DE"/>
        </w:rPr>
        <w:t xml:space="preserve"> </w:t>
      </w:r>
      <w:r w:rsidR="003500AF" w:rsidRPr="0090490A">
        <w:rPr>
          <w:i/>
          <w:lang w:val="de-DE"/>
        </w:rPr>
        <w:t xml:space="preserve">J. Am. </w:t>
      </w:r>
      <w:r w:rsidR="003500AF" w:rsidRPr="00C1678E">
        <w:rPr>
          <w:i/>
        </w:rPr>
        <w:t>Chem. Soc.</w:t>
      </w:r>
      <w:r w:rsidR="00D44D25">
        <w:rPr>
          <w:i/>
        </w:rPr>
        <w:t>,</w:t>
      </w:r>
      <w:r w:rsidR="003500AF">
        <w:t xml:space="preserve"> </w:t>
      </w:r>
      <w:r>
        <w:rPr>
          <w:b/>
        </w:rPr>
        <w:t>1935</w:t>
      </w:r>
      <w:r>
        <w:t>, 307</w:t>
      </w:r>
      <w:r w:rsidR="003500AF">
        <w:t xml:space="preserve">, </w:t>
      </w:r>
      <w:r>
        <w:t>1285-1288</w:t>
      </w:r>
      <w:r w:rsidR="003500AF">
        <w:t>.</w:t>
      </w:r>
    </w:p>
    <w:p w14:paraId="627B9745" w14:textId="07197BD3" w:rsidR="00A03DCF" w:rsidRDefault="00486684" w:rsidP="00D05734">
      <w:pPr>
        <w:pStyle w:val="TFReferencesSection"/>
        <w:numPr>
          <w:ilvl w:val="0"/>
          <w:numId w:val="12"/>
        </w:numPr>
      </w:pPr>
      <w:r>
        <w:t xml:space="preserve">House, J.O. </w:t>
      </w:r>
      <w:r>
        <w:rPr>
          <w:i/>
        </w:rPr>
        <w:t>J. Org. Chem.</w:t>
      </w:r>
      <w:r w:rsidR="00D44D25">
        <w:rPr>
          <w:i/>
        </w:rPr>
        <w:t>,</w:t>
      </w:r>
      <w:r>
        <w:rPr>
          <w:i/>
        </w:rPr>
        <w:t xml:space="preserve"> </w:t>
      </w:r>
      <w:r>
        <w:rPr>
          <w:b/>
        </w:rPr>
        <w:t>1971</w:t>
      </w:r>
      <w:r>
        <w:rPr>
          <w:i/>
        </w:rPr>
        <w:t xml:space="preserve">, 36, </w:t>
      </w:r>
      <w:r>
        <w:t>2361</w:t>
      </w:r>
    </w:p>
    <w:p w14:paraId="793AA629" w14:textId="58970D21" w:rsidR="00A03DCF" w:rsidRDefault="00D44D25" w:rsidP="00D05734">
      <w:pPr>
        <w:pStyle w:val="TFReferencesSection"/>
        <w:numPr>
          <w:ilvl w:val="0"/>
          <w:numId w:val="12"/>
        </w:numPr>
      </w:pPr>
      <w:r>
        <w:t xml:space="preserve">Cuthbertson, J.D.; Godfrey, A.A.; Taylor, R.J.K., </w:t>
      </w:r>
      <w:r>
        <w:rPr>
          <w:i/>
        </w:rPr>
        <w:t>Tetrahedron Letters</w:t>
      </w:r>
      <w:r>
        <w:t xml:space="preserve">. </w:t>
      </w:r>
      <w:r>
        <w:rPr>
          <w:b/>
        </w:rPr>
        <w:t>2010</w:t>
      </w:r>
      <w:r>
        <w:t xml:space="preserve">, </w:t>
      </w:r>
      <w:r w:rsidRPr="00D44D25">
        <w:rPr>
          <w:i/>
        </w:rPr>
        <w:t>52</w:t>
      </w:r>
      <w:r>
        <w:t>, 2024-2027.</w:t>
      </w:r>
    </w:p>
    <w:p w14:paraId="5A056948" w14:textId="574B8426" w:rsidR="00A03DCF" w:rsidRDefault="00D44D25" w:rsidP="00D05734">
      <w:pPr>
        <w:pStyle w:val="TFReferencesSection"/>
        <w:numPr>
          <w:ilvl w:val="0"/>
          <w:numId w:val="12"/>
        </w:numPr>
      </w:pPr>
      <w:r>
        <w:t xml:space="preserve">Lettan, R.B.; Galliford, C.V.; Woodward, C.C.; Scheidt, K.A, </w:t>
      </w:r>
      <w:r>
        <w:rPr>
          <w:i/>
        </w:rPr>
        <w:t xml:space="preserve">J. Am. Chem. Soc., </w:t>
      </w:r>
      <w:r>
        <w:rPr>
          <w:b/>
        </w:rPr>
        <w:t>2006</w:t>
      </w:r>
      <w:r>
        <w:t xml:space="preserve">, </w:t>
      </w:r>
      <w:r>
        <w:rPr>
          <w:i/>
        </w:rPr>
        <w:t>128</w:t>
      </w:r>
      <w:r>
        <w:t>, 15566-15567.</w:t>
      </w:r>
    </w:p>
    <w:p w14:paraId="33681FD8" w14:textId="45BCC284" w:rsidR="00A03DCF" w:rsidRDefault="002A2E30" w:rsidP="00D05734">
      <w:pPr>
        <w:pStyle w:val="TFReferencesSection"/>
        <w:numPr>
          <w:ilvl w:val="0"/>
          <w:numId w:val="12"/>
        </w:numPr>
      </w:pPr>
      <w:r>
        <w:t>Little, R.D.; Masjedizadeh, M.R.; Wallqu</w:t>
      </w:r>
      <w:r w:rsidR="00770DE8">
        <w:t>i</w:t>
      </w:r>
      <w:r w:rsidR="00CE4204">
        <w:t>st, O.; McLoughlin, J.I.,</w:t>
      </w:r>
      <w:r>
        <w:t xml:space="preserve"> </w:t>
      </w:r>
      <w:r>
        <w:rPr>
          <w:i/>
        </w:rPr>
        <w:t>Org. React.</w:t>
      </w:r>
      <w:r>
        <w:t xml:space="preserve">, </w:t>
      </w:r>
      <w:r>
        <w:rPr>
          <w:b/>
        </w:rPr>
        <w:t>47</w:t>
      </w:r>
      <w:r>
        <w:t>, 315-552.</w:t>
      </w:r>
    </w:p>
    <w:p w14:paraId="3E5D7F00" w14:textId="757F0B9B" w:rsidR="00A03DCF" w:rsidRDefault="00D27F1D" w:rsidP="00D05734">
      <w:pPr>
        <w:pStyle w:val="TFReferencesSection"/>
        <w:numPr>
          <w:ilvl w:val="0"/>
          <w:numId w:val="12"/>
        </w:numPr>
      </w:pPr>
      <w:r>
        <w:t>Palo</w:t>
      </w:r>
      <w:r w:rsidR="00770DE8">
        <w:t>mo, C.; Vera, S.; Mielgo, A.; Gó</w:t>
      </w:r>
      <w:r w:rsidR="00CE4204">
        <w:t>mez-Bengoa, E.,</w:t>
      </w:r>
      <w:r>
        <w:t xml:space="preserve"> </w:t>
      </w:r>
      <w:r>
        <w:rPr>
          <w:i/>
        </w:rPr>
        <w:t>Angew. Chem. Int. Ed.</w:t>
      </w:r>
      <w:r w:rsidR="00770DE8">
        <w:t xml:space="preserve">, </w:t>
      </w:r>
      <w:r>
        <w:rPr>
          <w:b/>
        </w:rPr>
        <w:t>2006</w:t>
      </w:r>
      <w:r>
        <w:t xml:space="preserve">, </w:t>
      </w:r>
      <w:r>
        <w:rPr>
          <w:i/>
        </w:rPr>
        <w:t>45</w:t>
      </w:r>
      <w:r>
        <w:t>, 5984-5987.</w:t>
      </w:r>
    </w:p>
    <w:p w14:paraId="11DB7DBD" w14:textId="5AEE4866" w:rsidR="00A03DCF" w:rsidRDefault="007D4134" w:rsidP="00D05734">
      <w:pPr>
        <w:pStyle w:val="TFReferencesSection"/>
        <w:numPr>
          <w:ilvl w:val="0"/>
          <w:numId w:val="12"/>
        </w:numPr>
      </w:pPr>
      <w:r>
        <w:t xml:space="preserve">Yin, G.; Qin, J.; Gao, M.; Cao, L.; Wu, A., </w:t>
      </w:r>
      <w:r>
        <w:rPr>
          <w:i/>
        </w:rPr>
        <w:t>Synthesis</w:t>
      </w:r>
      <w:r>
        <w:t xml:space="preserve">, </w:t>
      </w:r>
      <w:r>
        <w:rPr>
          <w:b/>
        </w:rPr>
        <w:t>2008</w:t>
      </w:r>
      <w:r>
        <w:t>, 3565-3568.</w:t>
      </w:r>
    </w:p>
    <w:p w14:paraId="04AC5D47" w14:textId="25ED285B" w:rsidR="00A03DCF" w:rsidRDefault="00CE4204" w:rsidP="00D05734">
      <w:pPr>
        <w:pStyle w:val="TFReferencesSection"/>
        <w:numPr>
          <w:ilvl w:val="0"/>
          <w:numId w:val="12"/>
        </w:numPr>
      </w:pPr>
      <w:r>
        <w:t>Kobayashi, M.; Matsumoto, T.,</w:t>
      </w:r>
      <w:r w:rsidR="00914465">
        <w:t xml:space="preserve"> </w:t>
      </w:r>
      <w:r w:rsidR="00914465">
        <w:rPr>
          <w:i/>
        </w:rPr>
        <w:t>Chem. Lett.</w:t>
      </w:r>
      <w:r w:rsidR="00914465">
        <w:t xml:space="preserve">, </w:t>
      </w:r>
      <w:r w:rsidR="00914465">
        <w:rPr>
          <w:b/>
        </w:rPr>
        <w:t>1973</w:t>
      </w:r>
      <w:r w:rsidR="00914465">
        <w:rPr>
          <w:i/>
        </w:rPr>
        <w:t xml:space="preserve">, </w:t>
      </w:r>
      <w:r w:rsidR="00914465">
        <w:t>957.</w:t>
      </w:r>
    </w:p>
    <w:p w14:paraId="066DB3FA" w14:textId="1631E608" w:rsidR="00A03DCF" w:rsidRDefault="00CE4204" w:rsidP="00D05734">
      <w:pPr>
        <w:pStyle w:val="TFReferencesSection"/>
        <w:numPr>
          <w:ilvl w:val="0"/>
          <w:numId w:val="12"/>
        </w:numPr>
      </w:pPr>
      <w:r>
        <w:t>Hauser, F.M.; Rhee, R.P.,</w:t>
      </w:r>
      <w:r w:rsidR="00167EDD">
        <w:t xml:space="preserve"> </w:t>
      </w:r>
      <w:r w:rsidR="00167EDD">
        <w:rPr>
          <w:i/>
        </w:rPr>
        <w:t>J. Org. Chem.</w:t>
      </w:r>
      <w:r w:rsidR="00167EDD">
        <w:t xml:space="preserve">, </w:t>
      </w:r>
      <w:r w:rsidR="00167EDD">
        <w:rPr>
          <w:b/>
        </w:rPr>
        <w:t>1978</w:t>
      </w:r>
      <w:r w:rsidR="00167EDD">
        <w:t xml:space="preserve">, </w:t>
      </w:r>
      <w:r w:rsidR="00167EDD">
        <w:rPr>
          <w:i/>
        </w:rPr>
        <w:t>43</w:t>
      </w:r>
      <w:r w:rsidR="00167EDD">
        <w:t>, 178-180.</w:t>
      </w:r>
    </w:p>
    <w:p w14:paraId="5F881EE2" w14:textId="13527283" w:rsidR="00914465" w:rsidRDefault="00CE4204" w:rsidP="00D05734">
      <w:pPr>
        <w:pStyle w:val="TFReferencesSection"/>
        <w:numPr>
          <w:ilvl w:val="0"/>
          <w:numId w:val="12"/>
        </w:numPr>
      </w:pPr>
      <w:r>
        <w:t>Acheson, R.M.; Robinson, R.,</w:t>
      </w:r>
      <w:r w:rsidR="003E263A">
        <w:t xml:space="preserve"> </w:t>
      </w:r>
      <w:r w:rsidR="003E263A">
        <w:rPr>
          <w:i/>
        </w:rPr>
        <w:t>J. Org. Chem.</w:t>
      </w:r>
      <w:r w:rsidR="003E263A">
        <w:t xml:space="preserve">, </w:t>
      </w:r>
      <w:r w:rsidR="003E263A">
        <w:rPr>
          <w:b/>
        </w:rPr>
        <w:t xml:space="preserve">1952, </w:t>
      </w:r>
      <w:r w:rsidR="003E263A" w:rsidRPr="003E263A">
        <w:t>1127</w:t>
      </w:r>
      <w:r w:rsidR="003E263A">
        <w:t>.</w:t>
      </w:r>
    </w:p>
    <w:p w14:paraId="14A27C5A" w14:textId="38C92312" w:rsidR="003E263A" w:rsidRPr="005D6A7F" w:rsidRDefault="00CE4204" w:rsidP="00D05734">
      <w:pPr>
        <w:pStyle w:val="TFReferencesSection"/>
        <w:numPr>
          <w:ilvl w:val="0"/>
          <w:numId w:val="12"/>
        </w:numPr>
      </w:pPr>
      <w:r>
        <w:t>Mulzer, J.,</w:t>
      </w:r>
      <w:r w:rsidR="005F303E">
        <w:t xml:space="preserve"> </w:t>
      </w:r>
      <w:r>
        <w:rPr>
          <w:i/>
        </w:rPr>
        <w:t xml:space="preserve">Angew. Chem. Int. Ed., </w:t>
      </w:r>
      <w:r>
        <w:rPr>
          <w:b/>
        </w:rPr>
        <w:t>1996</w:t>
      </w:r>
      <w:r>
        <w:t xml:space="preserve">, </w:t>
      </w:r>
      <w:r>
        <w:rPr>
          <w:i/>
        </w:rPr>
        <w:t>35</w:t>
      </w:r>
      <w:r>
        <w:t>, 2830.</w:t>
      </w:r>
    </w:p>
    <w:sectPr w:rsidR="003E263A" w:rsidRPr="005D6A7F" w:rsidSect="009F7C87">
      <w:footerReference w:type="even" r:id="rId24"/>
      <w:footerReference w:type="default" r:id="rId25"/>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77D5B" w14:textId="77777777" w:rsidR="00217BBF" w:rsidRDefault="00217BBF" w:rsidP="005D5C49">
      <w:pPr>
        <w:spacing w:after="0" w:line="240" w:lineRule="auto"/>
      </w:pPr>
      <w:r>
        <w:separator/>
      </w:r>
    </w:p>
  </w:endnote>
  <w:endnote w:type="continuationSeparator" w:id="0">
    <w:p w14:paraId="752FB761" w14:textId="77777777" w:rsidR="00217BBF" w:rsidRDefault="00217BBF" w:rsidP="005D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4DA1" w14:textId="77777777" w:rsidR="00217BBF" w:rsidRDefault="00217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4EB75" w14:textId="77777777" w:rsidR="00217BBF" w:rsidRDefault="00217B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72F4F" w14:textId="77777777" w:rsidR="00217BBF" w:rsidRDefault="00217BBF">
    <w:pPr>
      <w:pStyle w:val="Footer"/>
      <w:framePr w:wrap="around" w:vAnchor="text" w:hAnchor="margin" w:xAlign="right" w:y="1"/>
      <w:rPr>
        <w:rStyle w:val="PageNumber"/>
      </w:rPr>
    </w:pPr>
  </w:p>
  <w:p w14:paraId="4DDEB6F3" w14:textId="77777777" w:rsidR="00217BBF" w:rsidRDefault="00217B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FED7B" w14:textId="77777777" w:rsidR="00217BBF" w:rsidRDefault="00217BBF" w:rsidP="005D5C49">
      <w:pPr>
        <w:spacing w:after="0" w:line="240" w:lineRule="auto"/>
      </w:pPr>
      <w:r>
        <w:separator/>
      </w:r>
    </w:p>
  </w:footnote>
  <w:footnote w:type="continuationSeparator" w:id="0">
    <w:p w14:paraId="1BA7DCE3" w14:textId="77777777" w:rsidR="00217BBF" w:rsidRDefault="00217BBF" w:rsidP="005D5C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A65AC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68CDDB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0EDB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AD29A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1441D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805A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1CD7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4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3003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FA8A96"/>
    <w:lvl w:ilvl="0">
      <w:start w:val="1"/>
      <w:numFmt w:val="bullet"/>
      <w:lvlText w:val=""/>
      <w:lvlJc w:val="left"/>
      <w:pPr>
        <w:tabs>
          <w:tab w:val="num" w:pos="360"/>
        </w:tabs>
        <w:ind w:left="360" w:hanging="360"/>
      </w:pPr>
      <w:rPr>
        <w:rFonts w:ascii="Symbol" w:hAnsi="Symbol" w:hint="default"/>
      </w:rPr>
    </w:lvl>
  </w:abstractNum>
  <w:abstractNum w:abstractNumId="10">
    <w:nsid w:val="29763CC2"/>
    <w:multiLevelType w:val="hybridMultilevel"/>
    <w:tmpl w:val="1DF4A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FE3101"/>
    <w:multiLevelType w:val="hybridMultilevel"/>
    <w:tmpl w:val="36EED9A8"/>
    <w:lvl w:ilvl="0" w:tplc="0AB4E8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AE"/>
    <w:rsid w:val="000073EC"/>
    <w:rsid w:val="000118D7"/>
    <w:rsid w:val="00020906"/>
    <w:rsid w:val="00023580"/>
    <w:rsid w:val="00023A26"/>
    <w:rsid w:val="00024E06"/>
    <w:rsid w:val="00027554"/>
    <w:rsid w:val="00043A8F"/>
    <w:rsid w:val="00060A81"/>
    <w:rsid w:val="00060C3D"/>
    <w:rsid w:val="00062A79"/>
    <w:rsid w:val="00062FF7"/>
    <w:rsid w:val="0006343E"/>
    <w:rsid w:val="0006715E"/>
    <w:rsid w:val="00067805"/>
    <w:rsid w:val="00067E23"/>
    <w:rsid w:val="00071585"/>
    <w:rsid w:val="000749A0"/>
    <w:rsid w:val="000751B9"/>
    <w:rsid w:val="0007560D"/>
    <w:rsid w:val="000779E5"/>
    <w:rsid w:val="000800C2"/>
    <w:rsid w:val="00080588"/>
    <w:rsid w:val="00082291"/>
    <w:rsid w:val="00083485"/>
    <w:rsid w:val="00087D9C"/>
    <w:rsid w:val="000924C4"/>
    <w:rsid w:val="00093942"/>
    <w:rsid w:val="000A02D3"/>
    <w:rsid w:val="000A42E7"/>
    <w:rsid w:val="000B3D11"/>
    <w:rsid w:val="000B4576"/>
    <w:rsid w:val="000B65C0"/>
    <w:rsid w:val="000B74A9"/>
    <w:rsid w:val="000C0CBC"/>
    <w:rsid w:val="000C2C29"/>
    <w:rsid w:val="000C51FA"/>
    <w:rsid w:val="000D18CE"/>
    <w:rsid w:val="000D19B2"/>
    <w:rsid w:val="000D2429"/>
    <w:rsid w:val="000D7BFC"/>
    <w:rsid w:val="000E2CA3"/>
    <w:rsid w:val="000E5ED4"/>
    <w:rsid w:val="000E6908"/>
    <w:rsid w:val="000F1586"/>
    <w:rsid w:val="000F3767"/>
    <w:rsid w:val="000F3CE5"/>
    <w:rsid w:val="000F4D5A"/>
    <w:rsid w:val="000F6020"/>
    <w:rsid w:val="00100886"/>
    <w:rsid w:val="0010176B"/>
    <w:rsid w:val="00102CF1"/>
    <w:rsid w:val="00102D27"/>
    <w:rsid w:val="001031BC"/>
    <w:rsid w:val="00104EA0"/>
    <w:rsid w:val="00110209"/>
    <w:rsid w:val="00110D19"/>
    <w:rsid w:val="0012695C"/>
    <w:rsid w:val="00127AD7"/>
    <w:rsid w:val="00131ACA"/>
    <w:rsid w:val="00134497"/>
    <w:rsid w:val="00134A12"/>
    <w:rsid w:val="001353DF"/>
    <w:rsid w:val="00135634"/>
    <w:rsid w:val="00135957"/>
    <w:rsid w:val="001409C8"/>
    <w:rsid w:val="001438C3"/>
    <w:rsid w:val="001446CB"/>
    <w:rsid w:val="001450D8"/>
    <w:rsid w:val="00145AE3"/>
    <w:rsid w:val="00146B6B"/>
    <w:rsid w:val="00146CDD"/>
    <w:rsid w:val="001508B0"/>
    <w:rsid w:val="00151F63"/>
    <w:rsid w:val="001520F9"/>
    <w:rsid w:val="00152ADB"/>
    <w:rsid w:val="00154D24"/>
    <w:rsid w:val="001550B1"/>
    <w:rsid w:val="0015578A"/>
    <w:rsid w:val="00156880"/>
    <w:rsid w:val="001608DF"/>
    <w:rsid w:val="00165110"/>
    <w:rsid w:val="00167EDD"/>
    <w:rsid w:val="001721DB"/>
    <w:rsid w:val="001736D3"/>
    <w:rsid w:val="001750D1"/>
    <w:rsid w:val="001806DE"/>
    <w:rsid w:val="001827C6"/>
    <w:rsid w:val="00187170"/>
    <w:rsid w:val="00187794"/>
    <w:rsid w:val="00187C0A"/>
    <w:rsid w:val="001909BB"/>
    <w:rsid w:val="00191BBB"/>
    <w:rsid w:val="001954B9"/>
    <w:rsid w:val="0019662F"/>
    <w:rsid w:val="001A49E4"/>
    <w:rsid w:val="001B19BC"/>
    <w:rsid w:val="001B33AA"/>
    <w:rsid w:val="001B64B2"/>
    <w:rsid w:val="001C4CE5"/>
    <w:rsid w:val="001C5569"/>
    <w:rsid w:val="001D4E66"/>
    <w:rsid w:val="001E020E"/>
    <w:rsid w:val="001E0618"/>
    <w:rsid w:val="001E1DAC"/>
    <w:rsid w:val="001E3BFC"/>
    <w:rsid w:val="001E489D"/>
    <w:rsid w:val="001F0E9C"/>
    <w:rsid w:val="001F4063"/>
    <w:rsid w:val="001F486F"/>
    <w:rsid w:val="001F4909"/>
    <w:rsid w:val="001F6005"/>
    <w:rsid w:val="002003EC"/>
    <w:rsid w:val="0020357E"/>
    <w:rsid w:val="00206997"/>
    <w:rsid w:val="00216247"/>
    <w:rsid w:val="00217BBF"/>
    <w:rsid w:val="002201A0"/>
    <w:rsid w:val="0022028F"/>
    <w:rsid w:val="00220A91"/>
    <w:rsid w:val="0022446D"/>
    <w:rsid w:val="002256A5"/>
    <w:rsid w:val="002264C7"/>
    <w:rsid w:val="00232EDF"/>
    <w:rsid w:val="002356C1"/>
    <w:rsid w:val="002364F2"/>
    <w:rsid w:val="00237AEB"/>
    <w:rsid w:val="002401D7"/>
    <w:rsid w:val="0024545A"/>
    <w:rsid w:val="002546F8"/>
    <w:rsid w:val="0025483A"/>
    <w:rsid w:val="00254B45"/>
    <w:rsid w:val="002579ED"/>
    <w:rsid w:val="0026437D"/>
    <w:rsid w:val="00266317"/>
    <w:rsid w:val="00266E2D"/>
    <w:rsid w:val="002675C8"/>
    <w:rsid w:val="00272C5F"/>
    <w:rsid w:val="00275EE5"/>
    <w:rsid w:val="00277897"/>
    <w:rsid w:val="002815EA"/>
    <w:rsid w:val="00282A4A"/>
    <w:rsid w:val="00292921"/>
    <w:rsid w:val="00294157"/>
    <w:rsid w:val="00296545"/>
    <w:rsid w:val="002A1E13"/>
    <w:rsid w:val="002A2E30"/>
    <w:rsid w:val="002A303A"/>
    <w:rsid w:val="002A48A2"/>
    <w:rsid w:val="002A4C89"/>
    <w:rsid w:val="002A7F10"/>
    <w:rsid w:val="002B4A90"/>
    <w:rsid w:val="002B4E18"/>
    <w:rsid w:val="002B5588"/>
    <w:rsid w:val="002B6D83"/>
    <w:rsid w:val="002B7816"/>
    <w:rsid w:val="002C1973"/>
    <w:rsid w:val="002C31AC"/>
    <w:rsid w:val="002D14F6"/>
    <w:rsid w:val="002D3067"/>
    <w:rsid w:val="002D4409"/>
    <w:rsid w:val="002D5378"/>
    <w:rsid w:val="002D6D15"/>
    <w:rsid w:val="002E1915"/>
    <w:rsid w:val="002E793F"/>
    <w:rsid w:val="002F0ADF"/>
    <w:rsid w:val="002F2D72"/>
    <w:rsid w:val="002F42E8"/>
    <w:rsid w:val="002F4C56"/>
    <w:rsid w:val="00300ABE"/>
    <w:rsid w:val="00304DA3"/>
    <w:rsid w:val="00305B46"/>
    <w:rsid w:val="00306FAA"/>
    <w:rsid w:val="003210BE"/>
    <w:rsid w:val="00321835"/>
    <w:rsid w:val="003239C6"/>
    <w:rsid w:val="0033478E"/>
    <w:rsid w:val="00343A48"/>
    <w:rsid w:val="003441AA"/>
    <w:rsid w:val="00344C50"/>
    <w:rsid w:val="003452EA"/>
    <w:rsid w:val="003500AF"/>
    <w:rsid w:val="00352269"/>
    <w:rsid w:val="003522DE"/>
    <w:rsid w:val="0035486D"/>
    <w:rsid w:val="00357824"/>
    <w:rsid w:val="003610FE"/>
    <w:rsid w:val="0036224D"/>
    <w:rsid w:val="00362B07"/>
    <w:rsid w:val="00364152"/>
    <w:rsid w:val="003641D7"/>
    <w:rsid w:val="003774C9"/>
    <w:rsid w:val="003778FF"/>
    <w:rsid w:val="0038158F"/>
    <w:rsid w:val="00384964"/>
    <w:rsid w:val="0038614F"/>
    <w:rsid w:val="00386405"/>
    <w:rsid w:val="00390162"/>
    <w:rsid w:val="00390602"/>
    <w:rsid w:val="003907C5"/>
    <w:rsid w:val="00393506"/>
    <w:rsid w:val="003A3833"/>
    <w:rsid w:val="003A6785"/>
    <w:rsid w:val="003A6C92"/>
    <w:rsid w:val="003B1D28"/>
    <w:rsid w:val="003B6A90"/>
    <w:rsid w:val="003C1815"/>
    <w:rsid w:val="003C1B0C"/>
    <w:rsid w:val="003C2EA2"/>
    <w:rsid w:val="003D00DC"/>
    <w:rsid w:val="003D02FF"/>
    <w:rsid w:val="003D0E37"/>
    <w:rsid w:val="003D20CC"/>
    <w:rsid w:val="003D2277"/>
    <w:rsid w:val="003D2994"/>
    <w:rsid w:val="003D421D"/>
    <w:rsid w:val="003D5E3F"/>
    <w:rsid w:val="003D62DE"/>
    <w:rsid w:val="003E263A"/>
    <w:rsid w:val="003E500B"/>
    <w:rsid w:val="003F323C"/>
    <w:rsid w:val="003F3B1B"/>
    <w:rsid w:val="00400414"/>
    <w:rsid w:val="00402D2F"/>
    <w:rsid w:val="00406C9B"/>
    <w:rsid w:val="0041032E"/>
    <w:rsid w:val="004108D4"/>
    <w:rsid w:val="00412AFB"/>
    <w:rsid w:val="00412B3A"/>
    <w:rsid w:val="00413518"/>
    <w:rsid w:val="00417330"/>
    <w:rsid w:val="00417587"/>
    <w:rsid w:val="004175BA"/>
    <w:rsid w:val="004258B4"/>
    <w:rsid w:val="00425B52"/>
    <w:rsid w:val="00425CEE"/>
    <w:rsid w:val="00431C04"/>
    <w:rsid w:val="0044112E"/>
    <w:rsid w:val="004418B3"/>
    <w:rsid w:val="00444435"/>
    <w:rsid w:val="00445683"/>
    <w:rsid w:val="004474F0"/>
    <w:rsid w:val="00455E31"/>
    <w:rsid w:val="00457A05"/>
    <w:rsid w:val="00461242"/>
    <w:rsid w:val="0046449A"/>
    <w:rsid w:val="00465035"/>
    <w:rsid w:val="0046511E"/>
    <w:rsid w:val="00466459"/>
    <w:rsid w:val="0046764A"/>
    <w:rsid w:val="00467D75"/>
    <w:rsid w:val="004704FC"/>
    <w:rsid w:val="004735D2"/>
    <w:rsid w:val="00477695"/>
    <w:rsid w:val="0048309F"/>
    <w:rsid w:val="0048587C"/>
    <w:rsid w:val="00486684"/>
    <w:rsid w:val="00492B88"/>
    <w:rsid w:val="00494FF3"/>
    <w:rsid w:val="004A06ED"/>
    <w:rsid w:val="004A0EA3"/>
    <w:rsid w:val="004A21EB"/>
    <w:rsid w:val="004A3730"/>
    <w:rsid w:val="004A5513"/>
    <w:rsid w:val="004A636F"/>
    <w:rsid w:val="004A76FE"/>
    <w:rsid w:val="004B2515"/>
    <w:rsid w:val="004B2E32"/>
    <w:rsid w:val="004B7223"/>
    <w:rsid w:val="004C36CF"/>
    <w:rsid w:val="004C3AD8"/>
    <w:rsid w:val="004C63DD"/>
    <w:rsid w:val="004E012F"/>
    <w:rsid w:val="004E3508"/>
    <w:rsid w:val="004E368C"/>
    <w:rsid w:val="004E416A"/>
    <w:rsid w:val="004E5BDF"/>
    <w:rsid w:val="004F1A04"/>
    <w:rsid w:val="004F2256"/>
    <w:rsid w:val="004F3001"/>
    <w:rsid w:val="004F35F8"/>
    <w:rsid w:val="004F640A"/>
    <w:rsid w:val="00500325"/>
    <w:rsid w:val="00503F80"/>
    <w:rsid w:val="00505793"/>
    <w:rsid w:val="00513249"/>
    <w:rsid w:val="00513F6A"/>
    <w:rsid w:val="005145CC"/>
    <w:rsid w:val="0052120B"/>
    <w:rsid w:val="005234C5"/>
    <w:rsid w:val="00523FFB"/>
    <w:rsid w:val="00524FF2"/>
    <w:rsid w:val="00526397"/>
    <w:rsid w:val="00527A24"/>
    <w:rsid w:val="00532121"/>
    <w:rsid w:val="00533643"/>
    <w:rsid w:val="00536E3E"/>
    <w:rsid w:val="005413CC"/>
    <w:rsid w:val="005425DB"/>
    <w:rsid w:val="0054791C"/>
    <w:rsid w:val="00557B33"/>
    <w:rsid w:val="00565F6C"/>
    <w:rsid w:val="00571C08"/>
    <w:rsid w:val="005741D3"/>
    <w:rsid w:val="0058132F"/>
    <w:rsid w:val="005832E1"/>
    <w:rsid w:val="0058601D"/>
    <w:rsid w:val="00591194"/>
    <w:rsid w:val="005960EF"/>
    <w:rsid w:val="005A00AC"/>
    <w:rsid w:val="005A7161"/>
    <w:rsid w:val="005A7C3E"/>
    <w:rsid w:val="005B1814"/>
    <w:rsid w:val="005B4DF1"/>
    <w:rsid w:val="005C13FD"/>
    <w:rsid w:val="005C2B41"/>
    <w:rsid w:val="005C2BC7"/>
    <w:rsid w:val="005C69EF"/>
    <w:rsid w:val="005D3C48"/>
    <w:rsid w:val="005D3CF9"/>
    <w:rsid w:val="005D5C49"/>
    <w:rsid w:val="005D6A7F"/>
    <w:rsid w:val="005E1B80"/>
    <w:rsid w:val="005E32E3"/>
    <w:rsid w:val="005E44E5"/>
    <w:rsid w:val="005E6A8F"/>
    <w:rsid w:val="005E6B30"/>
    <w:rsid w:val="005F303E"/>
    <w:rsid w:val="006008E7"/>
    <w:rsid w:val="00601A50"/>
    <w:rsid w:val="00602CB2"/>
    <w:rsid w:val="006104DB"/>
    <w:rsid w:val="00614054"/>
    <w:rsid w:val="0061407E"/>
    <w:rsid w:val="0061412D"/>
    <w:rsid w:val="00620283"/>
    <w:rsid w:val="00622D95"/>
    <w:rsid w:val="00626E20"/>
    <w:rsid w:val="00627BA9"/>
    <w:rsid w:val="00630829"/>
    <w:rsid w:val="006309C1"/>
    <w:rsid w:val="0063108E"/>
    <w:rsid w:val="00635682"/>
    <w:rsid w:val="00636E75"/>
    <w:rsid w:val="00641C83"/>
    <w:rsid w:val="00642305"/>
    <w:rsid w:val="00644B8F"/>
    <w:rsid w:val="00646042"/>
    <w:rsid w:val="006460AE"/>
    <w:rsid w:val="00646ACD"/>
    <w:rsid w:val="00651D62"/>
    <w:rsid w:val="00654C19"/>
    <w:rsid w:val="00654EF9"/>
    <w:rsid w:val="00662E8E"/>
    <w:rsid w:val="00667E5A"/>
    <w:rsid w:val="00673A3A"/>
    <w:rsid w:val="00674ABC"/>
    <w:rsid w:val="00675107"/>
    <w:rsid w:val="00681403"/>
    <w:rsid w:val="00681B91"/>
    <w:rsid w:val="00683F5A"/>
    <w:rsid w:val="006844F6"/>
    <w:rsid w:val="006877AB"/>
    <w:rsid w:val="00691876"/>
    <w:rsid w:val="00691E7D"/>
    <w:rsid w:val="00692D25"/>
    <w:rsid w:val="00694D80"/>
    <w:rsid w:val="006A3A29"/>
    <w:rsid w:val="006A3D62"/>
    <w:rsid w:val="006A4630"/>
    <w:rsid w:val="006A580B"/>
    <w:rsid w:val="006A61F9"/>
    <w:rsid w:val="006A6F32"/>
    <w:rsid w:val="006A7AD8"/>
    <w:rsid w:val="006B169D"/>
    <w:rsid w:val="006C0BD9"/>
    <w:rsid w:val="006C3A0F"/>
    <w:rsid w:val="006C668E"/>
    <w:rsid w:val="006D0914"/>
    <w:rsid w:val="006D09B5"/>
    <w:rsid w:val="006D23C4"/>
    <w:rsid w:val="006D4A25"/>
    <w:rsid w:val="006D6C91"/>
    <w:rsid w:val="006E1ECE"/>
    <w:rsid w:val="006E32E7"/>
    <w:rsid w:val="006E3D1C"/>
    <w:rsid w:val="006E4029"/>
    <w:rsid w:val="006E7F68"/>
    <w:rsid w:val="006F0B4F"/>
    <w:rsid w:val="006F2702"/>
    <w:rsid w:val="007010EB"/>
    <w:rsid w:val="00712E60"/>
    <w:rsid w:val="00715B35"/>
    <w:rsid w:val="00723E76"/>
    <w:rsid w:val="007241A6"/>
    <w:rsid w:val="0073089A"/>
    <w:rsid w:val="00732F9D"/>
    <w:rsid w:val="0073682A"/>
    <w:rsid w:val="00737585"/>
    <w:rsid w:val="00737EA4"/>
    <w:rsid w:val="00743DAD"/>
    <w:rsid w:val="00750F57"/>
    <w:rsid w:val="0075216A"/>
    <w:rsid w:val="007542A1"/>
    <w:rsid w:val="00757F5C"/>
    <w:rsid w:val="00760CD1"/>
    <w:rsid w:val="007631B7"/>
    <w:rsid w:val="00764005"/>
    <w:rsid w:val="00765A6F"/>
    <w:rsid w:val="00767309"/>
    <w:rsid w:val="00770DE8"/>
    <w:rsid w:val="007736A7"/>
    <w:rsid w:val="00774B73"/>
    <w:rsid w:val="00774D3C"/>
    <w:rsid w:val="00785776"/>
    <w:rsid w:val="0079089F"/>
    <w:rsid w:val="00793BFB"/>
    <w:rsid w:val="00794597"/>
    <w:rsid w:val="007955DA"/>
    <w:rsid w:val="007A0EBE"/>
    <w:rsid w:val="007A51D1"/>
    <w:rsid w:val="007B75C2"/>
    <w:rsid w:val="007C32FE"/>
    <w:rsid w:val="007D10D5"/>
    <w:rsid w:val="007D1E91"/>
    <w:rsid w:val="007D1E9E"/>
    <w:rsid w:val="007D3EAB"/>
    <w:rsid w:val="007D4134"/>
    <w:rsid w:val="007E4B3A"/>
    <w:rsid w:val="007E78F0"/>
    <w:rsid w:val="007F5A7D"/>
    <w:rsid w:val="00801DDB"/>
    <w:rsid w:val="00804D97"/>
    <w:rsid w:val="00806C96"/>
    <w:rsid w:val="00815B61"/>
    <w:rsid w:val="00816123"/>
    <w:rsid w:val="00821815"/>
    <w:rsid w:val="00822088"/>
    <w:rsid w:val="00832B9A"/>
    <w:rsid w:val="00837FD0"/>
    <w:rsid w:val="00840A5F"/>
    <w:rsid w:val="00843607"/>
    <w:rsid w:val="00843CC1"/>
    <w:rsid w:val="008447B1"/>
    <w:rsid w:val="00846E08"/>
    <w:rsid w:val="00847086"/>
    <w:rsid w:val="00850776"/>
    <w:rsid w:val="008508AD"/>
    <w:rsid w:val="00850BC2"/>
    <w:rsid w:val="00853DE8"/>
    <w:rsid w:val="00863B3B"/>
    <w:rsid w:val="00870239"/>
    <w:rsid w:val="008720BD"/>
    <w:rsid w:val="00872FF0"/>
    <w:rsid w:val="008764BF"/>
    <w:rsid w:val="008803ED"/>
    <w:rsid w:val="00881EE1"/>
    <w:rsid w:val="0088361D"/>
    <w:rsid w:val="00886B83"/>
    <w:rsid w:val="008A223F"/>
    <w:rsid w:val="008A3C3C"/>
    <w:rsid w:val="008A5411"/>
    <w:rsid w:val="008B05F8"/>
    <w:rsid w:val="008B5038"/>
    <w:rsid w:val="008B6910"/>
    <w:rsid w:val="008C0B68"/>
    <w:rsid w:val="008C201E"/>
    <w:rsid w:val="008C3C57"/>
    <w:rsid w:val="008C57E1"/>
    <w:rsid w:val="008E232B"/>
    <w:rsid w:val="008E26DC"/>
    <w:rsid w:val="008F659A"/>
    <w:rsid w:val="009005D3"/>
    <w:rsid w:val="00902889"/>
    <w:rsid w:val="00902F80"/>
    <w:rsid w:val="00903DD1"/>
    <w:rsid w:val="0090490A"/>
    <w:rsid w:val="00912BFC"/>
    <w:rsid w:val="009132AD"/>
    <w:rsid w:val="00914465"/>
    <w:rsid w:val="00917A19"/>
    <w:rsid w:val="00921A3F"/>
    <w:rsid w:val="00922291"/>
    <w:rsid w:val="009336DE"/>
    <w:rsid w:val="009363A9"/>
    <w:rsid w:val="00941E18"/>
    <w:rsid w:val="00942598"/>
    <w:rsid w:val="00953593"/>
    <w:rsid w:val="00953B8F"/>
    <w:rsid w:val="00960467"/>
    <w:rsid w:val="009626D6"/>
    <w:rsid w:val="00967694"/>
    <w:rsid w:val="00974EFF"/>
    <w:rsid w:val="00975910"/>
    <w:rsid w:val="0097771C"/>
    <w:rsid w:val="00981D4F"/>
    <w:rsid w:val="00981F90"/>
    <w:rsid w:val="0098270F"/>
    <w:rsid w:val="00984509"/>
    <w:rsid w:val="00994EFE"/>
    <w:rsid w:val="00997545"/>
    <w:rsid w:val="009A1F87"/>
    <w:rsid w:val="009A217C"/>
    <w:rsid w:val="009A2B2F"/>
    <w:rsid w:val="009B1FFB"/>
    <w:rsid w:val="009B2063"/>
    <w:rsid w:val="009B30A8"/>
    <w:rsid w:val="009B50A4"/>
    <w:rsid w:val="009B514D"/>
    <w:rsid w:val="009C0CAA"/>
    <w:rsid w:val="009C3F40"/>
    <w:rsid w:val="009C44C8"/>
    <w:rsid w:val="009C54F3"/>
    <w:rsid w:val="009C5EEF"/>
    <w:rsid w:val="009D0AC5"/>
    <w:rsid w:val="009D2A12"/>
    <w:rsid w:val="009D36CB"/>
    <w:rsid w:val="009D3F6F"/>
    <w:rsid w:val="009E009C"/>
    <w:rsid w:val="009E0113"/>
    <w:rsid w:val="009E65E3"/>
    <w:rsid w:val="009F0118"/>
    <w:rsid w:val="009F3130"/>
    <w:rsid w:val="009F65B6"/>
    <w:rsid w:val="009F6EED"/>
    <w:rsid w:val="009F7C87"/>
    <w:rsid w:val="00A00697"/>
    <w:rsid w:val="00A03DCF"/>
    <w:rsid w:val="00A05332"/>
    <w:rsid w:val="00A0684B"/>
    <w:rsid w:val="00A07B73"/>
    <w:rsid w:val="00A1084A"/>
    <w:rsid w:val="00A152EE"/>
    <w:rsid w:val="00A20B3F"/>
    <w:rsid w:val="00A215C1"/>
    <w:rsid w:val="00A26D46"/>
    <w:rsid w:val="00A36FB9"/>
    <w:rsid w:val="00A44846"/>
    <w:rsid w:val="00A45A56"/>
    <w:rsid w:val="00A46D82"/>
    <w:rsid w:val="00A47B1C"/>
    <w:rsid w:val="00A51521"/>
    <w:rsid w:val="00A54A91"/>
    <w:rsid w:val="00A54D5E"/>
    <w:rsid w:val="00A55CEA"/>
    <w:rsid w:val="00A604C5"/>
    <w:rsid w:val="00A7120A"/>
    <w:rsid w:val="00A7131C"/>
    <w:rsid w:val="00A7436E"/>
    <w:rsid w:val="00A76EFD"/>
    <w:rsid w:val="00A82366"/>
    <w:rsid w:val="00A868C4"/>
    <w:rsid w:val="00A904E3"/>
    <w:rsid w:val="00A93460"/>
    <w:rsid w:val="00A94255"/>
    <w:rsid w:val="00A95D3A"/>
    <w:rsid w:val="00A96640"/>
    <w:rsid w:val="00A97211"/>
    <w:rsid w:val="00AA053C"/>
    <w:rsid w:val="00AA2E51"/>
    <w:rsid w:val="00AA4FCF"/>
    <w:rsid w:val="00AA6E49"/>
    <w:rsid w:val="00AA6F76"/>
    <w:rsid w:val="00AB0EA8"/>
    <w:rsid w:val="00AB2C40"/>
    <w:rsid w:val="00AB432B"/>
    <w:rsid w:val="00AB4FE2"/>
    <w:rsid w:val="00AC2993"/>
    <w:rsid w:val="00AC3124"/>
    <w:rsid w:val="00AC40CA"/>
    <w:rsid w:val="00AC6E3E"/>
    <w:rsid w:val="00AC76EE"/>
    <w:rsid w:val="00AC7BF6"/>
    <w:rsid w:val="00AD1B0E"/>
    <w:rsid w:val="00AD2440"/>
    <w:rsid w:val="00AD525B"/>
    <w:rsid w:val="00AD684C"/>
    <w:rsid w:val="00AE49C7"/>
    <w:rsid w:val="00AE7D5F"/>
    <w:rsid w:val="00AF1DF6"/>
    <w:rsid w:val="00AF4B29"/>
    <w:rsid w:val="00AF5B3A"/>
    <w:rsid w:val="00B00151"/>
    <w:rsid w:val="00B033CC"/>
    <w:rsid w:val="00B0691E"/>
    <w:rsid w:val="00B07BBF"/>
    <w:rsid w:val="00B116BE"/>
    <w:rsid w:val="00B11A04"/>
    <w:rsid w:val="00B11F7B"/>
    <w:rsid w:val="00B12543"/>
    <w:rsid w:val="00B14E78"/>
    <w:rsid w:val="00B159AE"/>
    <w:rsid w:val="00B206ED"/>
    <w:rsid w:val="00B208BF"/>
    <w:rsid w:val="00B20BA0"/>
    <w:rsid w:val="00B21553"/>
    <w:rsid w:val="00B22989"/>
    <w:rsid w:val="00B230F4"/>
    <w:rsid w:val="00B24415"/>
    <w:rsid w:val="00B24FC8"/>
    <w:rsid w:val="00B25286"/>
    <w:rsid w:val="00B25A10"/>
    <w:rsid w:val="00B41475"/>
    <w:rsid w:val="00B438A4"/>
    <w:rsid w:val="00B47490"/>
    <w:rsid w:val="00B47AD9"/>
    <w:rsid w:val="00B51BE9"/>
    <w:rsid w:val="00B5254E"/>
    <w:rsid w:val="00B53038"/>
    <w:rsid w:val="00B62114"/>
    <w:rsid w:val="00B62A37"/>
    <w:rsid w:val="00B641B9"/>
    <w:rsid w:val="00B65949"/>
    <w:rsid w:val="00B77A4A"/>
    <w:rsid w:val="00B77F40"/>
    <w:rsid w:val="00B81C1F"/>
    <w:rsid w:val="00B834D1"/>
    <w:rsid w:val="00B87CFF"/>
    <w:rsid w:val="00B91183"/>
    <w:rsid w:val="00B91ED8"/>
    <w:rsid w:val="00B93969"/>
    <w:rsid w:val="00BA3C61"/>
    <w:rsid w:val="00BB04C9"/>
    <w:rsid w:val="00BB6251"/>
    <w:rsid w:val="00BB7436"/>
    <w:rsid w:val="00BC1FF6"/>
    <w:rsid w:val="00BC2D1F"/>
    <w:rsid w:val="00BC6DBC"/>
    <w:rsid w:val="00BC794D"/>
    <w:rsid w:val="00BD0FB3"/>
    <w:rsid w:val="00BD1A8E"/>
    <w:rsid w:val="00BD3C1B"/>
    <w:rsid w:val="00BE3823"/>
    <w:rsid w:val="00BE7427"/>
    <w:rsid w:val="00BE7A6F"/>
    <w:rsid w:val="00BF0811"/>
    <w:rsid w:val="00BF38C1"/>
    <w:rsid w:val="00BF72B6"/>
    <w:rsid w:val="00C008AC"/>
    <w:rsid w:val="00C0672A"/>
    <w:rsid w:val="00C07DCE"/>
    <w:rsid w:val="00C1165C"/>
    <w:rsid w:val="00C120FF"/>
    <w:rsid w:val="00C12A05"/>
    <w:rsid w:val="00C12ED1"/>
    <w:rsid w:val="00C1678E"/>
    <w:rsid w:val="00C17ECE"/>
    <w:rsid w:val="00C20CE6"/>
    <w:rsid w:val="00C20F66"/>
    <w:rsid w:val="00C23103"/>
    <w:rsid w:val="00C24A81"/>
    <w:rsid w:val="00C26785"/>
    <w:rsid w:val="00C30A18"/>
    <w:rsid w:val="00C46223"/>
    <w:rsid w:val="00C51E19"/>
    <w:rsid w:val="00C52377"/>
    <w:rsid w:val="00C52CB4"/>
    <w:rsid w:val="00C5459F"/>
    <w:rsid w:val="00C54C89"/>
    <w:rsid w:val="00C61B59"/>
    <w:rsid w:val="00C64D7B"/>
    <w:rsid w:val="00C66C00"/>
    <w:rsid w:val="00C70F71"/>
    <w:rsid w:val="00C71D5B"/>
    <w:rsid w:val="00C72EA5"/>
    <w:rsid w:val="00C7363F"/>
    <w:rsid w:val="00C74AAC"/>
    <w:rsid w:val="00C751E0"/>
    <w:rsid w:val="00C75597"/>
    <w:rsid w:val="00C75A94"/>
    <w:rsid w:val="00C75B24"/>
    <w:rsid w:val="00C77FC1"/>
    <w:rsid w:val="00C8142F"/>
    <w:rsid w:val="00C86938"/>
    <w:rsid w:val="00C8706D"/>
    <w:rsid w:val="00C8784C"/>
    <w:rsid w:val="00C937C9"/>
    <w:rsid w:val="00C95105"/>
    <w:rsid w:val="00CA3A1E"/>
    <w:rsid w:val="00CA5B69"/>
    <w:rsid w:val="00CA73E4"/>
    <w:rsid w:val="00CB047F"/>
    <w:rsid w:val="00CB0BC7"/>
    <w:rsid w:val="00CB1491"/>
    <w:rsid w:val="00CB78DC"/>
    <w:rsid w:val="00CC38CE"/>
    <w:rsid w:val="00CD1669"/>
    <w:rsid w:val="00CD1D0B"/>
    <w:rsid w:val="00CE0132"/>
    <w:rsid w:val="00CE0922"/>
    <w:rsid w:val="00CE15D3"/>
    <w:rsid w:val="00CE2A41"/>
    <w:rsid w:val="00CE4204"/>
    <w:rsid w:val="00CF0399"/>
    <w:rsid w:val="00CF1E66"/>
    <w:rsid w:val="00CF3470"/>
    <w:rsid w:val="00CF4DAF"/>
    <w:rsid w:val="00D01018"/>
    <w:rsid w:val="00D03F44"/>
    <w:rsid w:val="00D0526A"/>
    <w:rsid w:val="00D05734"/>
    <w:rsid w:val="00D10194"/>
    <w:rsid w:val="00D1241D"/>
    <w:rsid w:val="00D2120D"/>
    <w:rsid w:val="00D21C01"/>
    <w:rsid w:val="00D2244F"/>
    <w:rsid w:val="00D26DFA"/>
    <w:rsid w:val="00D2732C"/>
    <w:rsid w:val="00D27F1D"/>
    <w:rsid w:val="00D3342A"/>
    <w:rsid w:val="00D3359D"/>
    <w:rsid w:val="00D34FC0"/>
    <w:rsid w:val="00D406BA"/>
    <w:rsid w:val="00D445AF"/>
    <w:rsid w:val="00D44D25"/>
    <w:rsid w:val="00D52AF9"/>
    <w:rsid w:val="00D57663"/>
    <w:rsid w:val="00D712E1"/>
    <w:rsid w:val="00D746B8"/>
    <w:rsid w:val="00D7499E"/>
    <w:rsid w:val="00D74CCF"/>
    <w:rsid w:val="00D7718B"/>
    <w:rsid w:val="00D77814"/>
    <w:rsid w:val="00D81CB3"/>
    <w:rsid w:val="00D82F04"/>
    <w:rsid w:val="00D8322A"/>
    <w:rsid w:val="00D85392"/>
    <w:rsid w:val="00D87A62"/>
    <w:rsid w:val="00DA0894"/>
    <w:rsid w:val="00DA3DEB"/>
    <w:rsid w:val="00DB20E6"/>
    <w:rsid w:val="00DB34F1"/>
    <w:rsid w:val="00DB3EEE"/>
    <w:rsid w:val="00DB58FE"/>
    <w:rsid w:val="00DB6659"/>
    <w:rsid w:val="00DB7E0D"/>
    <w:rsid w:val="00DC38F5"/>
    <w:rsid w:val="00DC532B"/>
    <w:rsid w:val="00DC64F7"/>
    <w:rsid w:val="00DD4C28"/>
    <w:rsid w:val="00DD773C"/>
    <w:rsid w:val="00DE1C40"/>
    <w:rsid w:val="00DE5A26"/>
    <w:rsid w:val="00DF0E56"/>
    <w:rsid w:val="00E05D82"/>
    <w:rsid w:val="00E07483"/>
    <w:rsid w:val="00E103D1"/>
    <w:rsid w:val="00E1052D"/>
    <w:rsid w:val="00E228C1"/>
    <w:rsid w:val="00E2354D"/>
    <w:rsid w:val="00E25614"/>
    <w:rsid w:val="00E26BCD"/>
    <w:rsid w:val="00E30132"/>
    <w:rsid w:val="00E30A2C"/>
    <w:rsid w:val="00E31879"/>
    <w:rsid w:val="00E326AE"/>
    <w:rsid w:val="00E328F7"/>
    <w:rsid w:val="00E32CB6"/>
    <w:rsid w:val="00E342A2"/>
    <w:rsid w:val="00E3621B"/>
    <w:rsid w:val="00E366DC"/>
    <w:rsid w:val="00E3688B"/>
    <w:rsid w:val="00E37C5C"/>
    <w:rsid w:val="00E47873"/>
    <w:rsid w:val="00E51A53"/>
    <w:rsid w:val="00E607FE"/>
    <w:rsid w:val="00E6148D"/>
    <w:rsid w:val="00E62323"/>
    <w:rsid w:val="00E634F6"/>
    <w:rsid w:val="00E660EB"/>
    <w:rsid w:val="00E67EDD"/>
    <w:rsid w:val="00E73142"/>
    <w:rsid w:val="00E744D3"/>
    <w:rsid w:val="00E7774F"/>
    <w:rsid w:val="00E81BC4"/>
    <w:rsid w:val="00E8618B"/>
    <w:rsid w:val="00E921A2"/>
    <w:rsid w:val="00E945A3"/>
    <w:rsid w:val="00E96FB0"/>
    <w:rsid w:val="00EA45BF"/>
    <w:rsid w:val="00EA4A72"/>
    <w:rsid w:val="00EA5103"/>
    <w:rsid w:val="00EA702E"/>
    <w:rsid w:val="00EB2537"/>
    <w:rsid w:val="00EB43F6"/>
    <w:rsid w:val="00EB63B2"/>
    <w:rsid w:val="00EB78A6"/>
    <w:rsid w:val="00EC589B"/>
    <w:rsid w:val="00ED5BF5"/>
    <w:rsid w:val="00ED7A85"/>
    <w:rsid w:val="00EE1AEB"/>
    <w:rsid w:val="00EE2556"/>
    <w:rsid w:val="00EE41E1"/>
    <w:rsid w:val="00EF4B87"/>
    <w:rsid w:val="00EF69F9"/>
    <w:rsid w:val="00F00CEF"/>
    <w:rsid w:val="00F01B78"/>
    <w:rsid w:val="00F027C6"/>
    <w:rsid w:val="00F0300D"/>
    <w:rsid w:val="00F07E3D"/>
    <w:rsid w:val="00F12D74"/>
    <w:rsid w:val="00F13A09"/>
    <w:rsid w:val="00F1405E"/>
    <w:rsid w:val="00F14775"/>
    <w:rsid w:val="00F25D09"/>
    <w:rsid w:val="00F32AD9"/>
    <w:rsid w:val="00F32C23"/>
    <w:rsid w:val="00F372A2"/>
    <w:rsid w:val="00F4307A"/>
    <w:rsid w:val="00F45BC0"/>
    <w:rsid w:val="00F467E3"/>
    <w:rsid w:val="00F543A5"/>
    <w:rsid w:val="00F54FCE"/>
    <w:rsid w:val="00F5584F"/>
    <w:rsid w:val="00F56E04"/>
    <w:rsid w:val="00F57AB2"/>
    <w:rsid w:val="00F60D0E"/>
    <w:rsid w:val="00F63C0B"/>
    <w:rsid w:val="00F707F8"/>
    <w:rsid w:val="00F76E32"/>
    <w:rsid w:val="00F81025"/>
    <w:rsid w:val="00F84134"/>
    <w:rsid w:val="00F84BEC"/>
    <w:rsid w:val="00F86804"/>
    <w:rsid w:val="00F9640F"/>
    <w:rsid w:val="00FA05A2"/>
    <w:rsid w:val="00FA0D87"/>
    <w:rsid w:val="00FA3CD8"/>
    <w:rsid w:val="00FA4335"/>
    <w:rsid w:val="00FA446B"/>
    <w:rsid w:val="00FC10C6"/>
    <w:rsid w:val="00FC42EB"/>
    <w:rsid w:val="00FC7EA5"/>
    <w:rsid w:val="00FD1F01"/>
    <w:rsid w:val="00FD7249"/>
    <w:rsid w:val="00FE3552"/>
    <w:rsid w:val="00FE4DF5"/>
    <w:rsid w:val="00FF1717"/>
    <w:rsid w:val="00FF214C"/>
    <w:rsid w:val="00FF4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9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9"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0E37"/>
    <w:pPr>
      <w:spacing w:after="200" w:line="276" w:lineRule="auto"/>
    </w:pPr>
    <w:rPr>
      <w:sz w:val="22"/>
      <w:szCs w:val="22"/>
    </w:rPr>
  </w:style>
  <w:style w:type="paragraph" w:styleId="Heading1">
    <w:name w:val="heading 1"/>
    <w:basedOn w:val="Normal"/>
    <w:link w:val="Heading1Char"/>
    <w:uiPriority w:val="9"/>
    <w:qFormat/>
    <w:locked/>
    <w:rsid w:val="00145AE3"/>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1D5B"/>
    <w:rPr>
      <w:rFonts w:cs="Times New Roman"/>
      <w:color w:val="0000FF"/>
      <w:u w:val="single"/>
    </w:rPr>
  </w:style>
  <w:style w:type="paragraph" w:styleId="BalloonText">
    <w:name w:val="Balloon Text"/>
    <w:basedOn w:val="Normal"/>
    <w:link w:val="BalloonTextChar"/>
    <w:uiPriority w:val="99"/>
    <w:semiHidden/>
    <w:rsid w:val="009A1F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1F87"/>
    <w:rPr>
      <w:rFonts w:ascii="Tahoma" w:hAnsi="Tahoma" w:cs="Tahoma"/>
      <w:sz w:val="16"/>
      <w:szCs w:val="16"/>
    </w:rPr>
  </w:style>
  <w:style w:type="paragraph" w:styleId="ListParagraph">
    <w:name w:val="List Paragraph"/>
    <w:basedOn w:val="Normal"/>
    <w:uiPriority w:val="99"/>
    <w:qFormat/>
    <w:rsid w:val="008F659A"/>
    <w:pPr>
      <w:ind w:left="720"/>
      <w:contextualSpacing/>
    </w:pPr>
  </w:style>
  <w:style w:type="paragraph" w:customStyle="1" w:styleId="TAMainText">
    <w:name w:val="TA_Main_Text"/>
    <w:basedOn w:val="Normal"/>
    <w:uiPriority w:val="99"/>
    <w:rsid w:val="00CF4DAF"/>
    <w:pPr>
      <w:spacing w:after="0" w:line="220" w:lineRule="exact"/>
      <w:ind w:firstLine="187"/>
      <w:jc w:val="both"/>
    </w:pPr>
    <w:rPr>
      <w:rFonts w:ascii="Times New Roman" w:eastAsia="Times New Roman" w:hAnsi="Times New Roman"/>
      <w:sz w:val="19"/>
      <w:szCs w:val="20"/>
    </w:rPr>
  </w:style>
  <w:style w:type="paragraph" w:customStyle="1" w:styleId="BDAbstract">
    <w:name w:val="BD_Abstract"/>
    <w:basedOn w:val="Normal"/>
    <w:next w:val="TAMainText"/>
    <w:uiPriority w:val="99"/>
    <w:rsid w:val="00CF4DAF"/>
    <w:pPr>
      <w:pBdr>
        <w:top w:val="single" w:sz="4" w:space="10" w:color="auto"/>
        <w:bottom w:val="single" w:sz="4" w:space="10" w:color="auto"/>
      </w:pBdr>
      <w:spacing w:before="240" w:after="0" w:line="230" w:lineRule="exact"/>
      <w:jc w:val="both"/>
    </w:pPr>
    <w:rPr>
      <w:rFonts w:ascii="Times New Roman" w:eastAsia="Times New Roman" w:hAnsi="Times New Roman"/>
      <w:sz w:val="20"/>
      <w:szCs w:val="20"/>
    </w:rPr>
  </w:style>
  <w:style w:type="table" w:styleId="TableGrid">
    <w:name w:val="Table Grid"/>
    <w:basedOn w:val="TableNormal"/>
    <w:uiPriority w:val="99"/>
    <w:locked/>
    <w:rsid w:val="002003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2003E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2003E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99"/>
    <w:rsid w:val="002003E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EndnoteReference">
    <w:name w:val="endnote reference"/>
    <w:uiPriority w:val="99"/>
    <w:semiHidden/>
    <w:rsid w:val="00E8618B"/>
    <w:rPr>
      <w:rFonts w:ascii="Times" w:hAnsi="Times" w:cs="Times New Roman"/>
      <w:sz w:val="16"/>
      <w:vertAlign w:val="superscript"/>
    </w:rPr>
  </w:style>
  <w:style w:type="paragraph" w:customStyle="1" w:styleId="TFReferencesSection">
    <w:name w:val="TF_References_Section"/>
    <w:basedOn w:val="Normal"/>
    <w:uiPriority w:val="99"/>
    <w:rsid w:val="00E8618B"/>
    <w:pPr>
      <w:spacing w:after="0" w:line="160" w:lineRule="exact"/>
      <w:jc w:val="both"/>
    </w:pPr>
    <w:rPr>
      <w:rFonts w:ascii="Times New Roman" w:eastAsia="Times New Roman" w:hAnsi="Times New Roman"/>
      <w:sz w:val="15"/>
      <w:szCs w:val="20"/>
    </w:rPr>
  </w:style>
  <w:style w:type="paragraph" w:customStyle="1" w:styleId="BATitle">
    <w:name w:val="BA_Title"/>
    <w:next w:val="BBAuthorName"/>
    <w:uiPriority w:val="99"/>
    <w:rsid w:val="00E8618B"/>
    <w:pPr>
      <w:spacing w:line="260" w:lineRule="exact"/>
      <w:jc w:val="center"/>
    </w:pPr>
    <w:rPr>
      <w:rFonts w:ascii="Times New Roman" w:eastAsia="Times New Roman" w:hAnsi="Times New Roman"/>
      <w:b/>
      <w:noProof/>
      <w:sz w:val="22"/>
    </w:rPr>
  </w:style>
  <w:style w:type="paragraph" w:customStyle="1" w:styleId="BBAuthorName">
    <w:name w:val="BB_Author_Name"/>
    <w:basedOn w:val="Normal"/>
    <w:next w:val="BCAuthorAddress"/>
    <w:uiPriority w:val="99"/>
    <w:rsid w:val="00E8618B"/>
    <w:pPr>
      <w:spacing w:before="240" w:after="0" w:line="200" w:lineRule="exact"/>
      <w:jc w:val="center"/>
    </w:pPr>
    <w:rPr>
      <w:rFonts w:ascii="Times New Roman" w:eastAsia="Times New Roman" w:hAnsi="Times New Roman"/>
      <w:sz w:val="19"/>
      <w:szCs w:val="20"/>
    </w:rPr>
  </w:style>
  <w:style w:type="paragraph" w:customStyle="1" w:styleId="BCAuthorAddress">
    <w:name w:val="BC_Author_Address"/>
    <w:basedOn w:val="Normal"/>
    <w:next w:val="AIReceivedDate"/>
    <w:autoRedefine/>
    <w:uiPriority w:val="99"/>
    <w:rsid w:val="002D6D15"/>
    <w:pPr>
      <w:spacing w:before="120" w:after="0" w:line="210" w:lineRule="exact"/>
      <w:jc w:val="center"/>
    </w:pPr>
    <w:rPr>
      <w:rFonts w:ascii="Times New Roman" w:eastAsia="Times New Roman" w:hAnsi="Times New Roman"/>
      <w:i/>
      <w:sz w:val="19"/>
      <w:szCs w:val="19"/>
    </w:rPr>
  </w:style>
  <w:style w:type="paragraph" w:customStyle="1" w:styleId="AIReceivedDate">
    <w:name w:val="AI_Received_Date"/>
    <w:basedOn w:val="Normal"/>
    <w:next w:val="BDAbstract"/>
    <w:uiPriority w:val="99"/>
    <w:rsid w:val="00E8618B"/>
    <w:pPr>
      <w:spacing w:before="200" w:after="0" w:line="210" w:lineRule="exact"/>
      <w:jc w:val="center"/>
    </w:pPr>
    <w:rPr>
      <w:rFonts w:ascii="Times New Roman" w:eastAsia="Times New Roman" w:hAnsi="Times New Roman"/>
      <w:i/>
      <w:sz w:val="19"/>
      <w:szCs w:val="20"/>
    </w:rPr>
  </w:style>
  <w:style w:type="paragraph" w:customStyle="1" w:styleId="TDAcknowledgments">
    <w:name w:val="TD_Acknowledgments"/>
    <w:basedOn w:val="Normal"/>
    <w:next w:val="TESupportingInformation"/>
    <w:uiPriority w:val="99"/>
    <w:rsid w:val="00E8618B"/>
    <w:pPr>
      <w:spacing w:before="200" w:after="0" w:line="210" w:lineRule="exact"/>
      <w:ind w:firstLine="187"/>
      <w:jc w:val="both"/>
    </w:pPr>
    <w:rPr>
      <w:rFonts w:ascii="Times New Roman" w:eastAsia="Times New Roman" w:hAnsi="Times New Roman"/>
      <w:sz w:val="17"/>
      <w:szCs w:val="20"/>
    </w:rPr>
  </w:style>
  <w:style w:type="paragraph" w:customStyle="1" w:styleId="TESupportingInformation">
    <w:name w:val="TE_Supporting_Information"/>
    <w:basedOn w:val="Normal"/>
    <w:uiPriority w:val="99"/>
    <w:rsid w:val="00E8618B"/>
    <w:pPr>
      <w:spacing w:before="200" w:after="0" w:line="200" w:lineRule="exact"/>
      <w:ind w:firstLine="187"/>
      <w:jc w:val="both"/>
    </w:pPr>
    <w:rPr>
      <w:rFonts w:ascii="Times New Roman" w:eastAsia="Times New Roman" w:hAnsi="Times New Roman"/>
      <w:sz w:val="18"/>
      <w:szCs w:val="20"/>
    </w:rPr>
  </w:style>
  <w:style w:type="paragraph" w:customStyle="1" w:styleId="VCSchemeTitle">
    <w:name w:val="VC_Scheme_Title"/>
    <w:basedOn w:val="Normal"/>
    <w:next w:val="Normal"/>
    <w:uiPriority w:val="99"/>
    <w:rsid w:val="005B4DF1"/>
    <w:pPr>
      <w:spacing w:after="0" w:line="200" w:lineRule="exact"/>
    </w:pPr>
    <w:rPr>
      <w:rFonts w:ascii="Times New Roman" w:eastAsia="Times New Roman" w:hAnsi="Times New Roman"/>
      <w:sz w:val="18"/>
      <w:szCs w:val="20"/>
    </w:rPr>
  </w:style>
  <w:style w:type="paragraph" w:customStyle="1" w:styleId="VDTableTitle">
    <w:name w:val="VD_Table_Title"/>
    <w:basedOn w:val="Normal"/>
    <w:next w:val="Normal"/>
    <w:uiPriority w:val="99"/>
    <w:rsid w:val="00E8618B"/>
    <w:pPr>
      <w:spacing w:after="0" w:line="180" w:lineRule="exact"/>
    </w:pPr>
    <w:rPr>
      <w:rFonts w:ascii="Times New Roman" w:eastAsia="Times New Roman" w:hAnsi="Times New Roman"/>
      <w:sz w:val="16"/>
      <w:szCs w:val="20"/>
    </w:rPr>
  </w:style>
  <w:style w:type="paragraph" w:customStyle="1" w:styleId="VAFigureCaption">
    <w:name w:val="VA_Figure_Caption"/>
    <w:basedOn w:val="Normal"/>
    <w:next w:val="Normal"/>
    <w:uiPriority w:val="99"/>
    <w:rsid w:val="00E8618B"/>
    <w:pPr>
      <w:spacing w:after="0" w:line="190" w:lineRule="exact"/>
      <w:jc w:val="both"/>
    </w:pPr>
    <w:rPr>
      <w:rFonts w:ascii="Times New Roman" w:eastAsia="Times New Roman" w:hAnsi="Times New Roman"/>
      <w:sz w:val="17"/>
      <w:szCs w:val="20"/>
    </w:rPr>
  </w:style>
  <w:style w:type="paragraph" w:customStyle="1" w:styleId="TCTableBody">
    <w:name w:val="TC_Table_Body"/>
    <w:basedOn w:val="VDTableTitle"/>
    <w:uiPriority w:val="99"/>
    <w:rsid w:val="00E8618B"/>
  </w:style>
  <w:style w:type="paragraph" w:styleId="Footer">
    <w:name w:val="footer"/>
    <w:basedOn w:val="Normal"/>
    <w:link w:val="FooterChar"/>
    <w:uiPriority w:val="99"/>
    <w:rsid w:val="00E8618B"/>
    <w:pPr>
      <w:tabs>
        <w:tab w:val="center" w:pos="4320"/>
        <w:tab w:val="right" w:pos="8640"/>
      </w:tabs>
      <w:spacing w:after="0" w:line="240" w:lineRule="auto"/>
      <w:jc w:val="both"/>
    </w:pPr>
    <w:rPr>
      <w:rFonts w:ascii="NewCenturySchlbk" w:eastAsia="Times New Roman" w:hAnsi="NewCenturySchlbk"/>
      <w:szCs w:val="20"/>
    </w:rPr>
  </w:style>
  <w:style w:type="character" w:customStyle="1" w:styleId="FooterChar">
    <w:name w:val="Footer Char"/>
    <w:link w:val="Footer"/>
    <w:uiPriority w:val="99"/>
    <w:locked/>
    <w:rsid w:val="00E8618B"/>
    <w:rPr>
      <w:rFonts w:ascii="NewCenturySchlbk" w:hAnsi="NewCenturySchlbk" w:cs="Times New Roman"/>
      <w:sz w:val="22"/>
    </w:rPr>
  </w:style>
  <w:style w:type="character" w:styleId="PageNumber">
    <w:name w:val="page number"/>
    <w:uiPriority w:val="99"/>
    <w:rsid w:val="00E8618B"/>
    <w:rPr>
      <w:rFonts w:cs="Times New Roman"/>
    </w:rPr>
  </w:style>
  <w:style w:type="character" w:styleId="Strong">
    <w:name w:val="Strong"/>
    <w:uiPriority w:val="99"/>
    <w:qFormat/>
    <w:locked/>
    <w:rsid w:val="002F0ADF"/>
    <w:rPr>
      <w:rFonts w:cs="Times New Roman"/>
      <w:b/>
      <w:bCs/>
    </w:rPr>
  </w:style>
  <w:style w:type="character" w:styleId="Emphasis">
    <w:name w:val="Emphasis"/>
    <w:uiPriority w:val="99"/>
    <w:qFormat/>
    <w:locked/>
    <w:rsid w:val="002F0ADF"/>
    <w:rPr>
      <w:rFonts w:cs="Times New Roman"/>
      <w:i/>
      <w:iCs/>
    </w:rPr>
  </w:style>
  <w:style w:type="paragraph" w:customStyle="1" w:styleId="sectionheading">
    <w:name w:val="section heading"/>
    <w:next w:val="TCTableBody"/>
    <w:uiPriority w:val="99"/>
    <w:rsid w:val="000B65C0"/>
    <w:pPr>
      <w:spacing w:line="360" w:lineRule="auto"/>
    </w:pPr>
    <w:rPr>
      <w:rFonts w:ascii="Times New Roman" w:eastAsia="Times New Roman" w:hAnsi="Times New Roman"/>
      <w:b/>
      <w:sz w:val="19"/>
    </w:rPr>
  </w:style>
  <w:style w:type="paragraph" w:styleId="Header">
    <w:name w:val="header"/>
    <w:basedOn w:val="Normal"/>
    <w:link w:val="HeaderChar"/>
    <w:uiPriority w:val="99"/>
    <w:semiHidden/>
    <w:rsid w:val="00847086"/>
    <w:pPr>
      <w:tabs>
        <w:tab w:val="center" w:pos="4680"/>
        <w:tab w:val="right" w:pos="9360"/>
      </w:tabs>
      <w:spacing w:after="0" w:line="240" w:lineRule="auto"/>
    </w:pPr>
  </w:style>
  <w:style w:type="character" w:customStyle="1" w:styleId="HeaderChar">
    <w:name w:val="Header Char"/>
    <w:link w:val="Header"/>
    <w:uiPriority w:val="99"/>
    <w:semiHidden/>
    <w:locked/>
    <w:rsid w:val="00847086"/>
    <w:rPr>
      <w:rFonts w:cs="Times New Roman"/>
      <w:sz w:val="22"/>
      <w:szCs w:val="22"/>
    </w:rPr>
  </w:style>
  <w:style w:type="character" w:styleId="FollowedHyperlink">
    <w:name w:val="FollowedHyperlink"/>
    <w:basedOn w:val="DefaultParagraphFont"/>
    <w:uiPriority w:val="99"/>
    <w:semiHidden/>
    <w:unhideWhenUsed/>
    <w:rsid w:val="00614054"/>
    <w:rPr>
      <w:color w:val="800080" w:themeColor="followedHyperlink"/>
      <w:u w:val="single"/>
    </w:rPr>
  </w:style>
  <w:style w:type="character" w:customStyle="1" w:styleId="Heading1Char">
    <w:name w:val="Heading 1 Char"/>
    <w:basedOn w:val="DefaultParagraphFont"/>
    <w:link w:val="Heading1"/>
    <w:uiPriority w:val="9"/>
    <w:rsid w:val="00145AE3"/>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9"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D0E37"/>
    <w:pPr>
      <w:spacing w:after="200" w:line="276" w:lineRule="auto"/>
    </w:pPr>
    <w:rPr>
      <w:sz w:val="22"/>
      <w:szCs w:val="22"/>
    </w:rPr>
  </w:style>
  <w:style w:type="paragraph" w:styleId="Heading1">
    <w:name w:val="heading 1"/>
    <w:basedOn w:val="Normal"/>
    <w:link w:val="Heading1Char"/>
    <w:uiPriority w:val="9"/>
    <w:qFormat/>
    <w:locked/>
    <w:rsid w:val="00145AE3"/>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1D5B"/>
    <w:rPr>
      <w:rFonts w:cs="Times New Roman"/>
      <w:color w:val="0000FF"/>
      <w:u w:val="single"/>
    </w:rPr>
  </w:style>
  <w:style w:type="paragraph" w:styleId="BalloonText">
    <w:name w:val="Balloon Text"/>
    <w:basedOn w:val="Normal"/>
    <w:link w:val="BalloonTextChar"/>
    <w:uiPriority w:val="99"/>
    <w:semiHidden/>
    <w:rsid w:val="009A1F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1F87"/>
    <w:rPr>
      <w:rFonts w:ascii="Tahoma" w:hAnsi="Tahoma" w:cs="Tahoma"/>
      <w:sz w:val="16"/>
      <w:szCs w:val="16"/>
    </w:rPr>
  </w:style>
  <w:style w:type="paragraph" w:styleId="ListParagraph">
    <w:name w:val="List Paragraph"/>
    <w:basedOn w:val="Normal"/>
    <w:uiPriority w:val="99"/>
    <w:qFormat/>
    <w:rsid w:val="008F659A"/>
    <w:pPr>
      <w:ind w:left="720"/>
      <w:contextualSpacing/>
    </w:pPr>
  </w:style>
  <w:style w:type="paragraph" w:customStyle="1" w:styleId="TAMainText">
    <w:name w:val="TA_Main_Text"/>
    <w:basedOn w:val="Normal"/>
    <w:uiPriority w:val="99"/>
    <w:rsid w:val="00CF4DAF"/>
    <w:pPr>
      <w:spacing w:after="0" w:line="220" w:lineRule="exact"/>
      <w:ind w:firstLine="187"/>
      <w:jc w:val="both"/>
    </w:pPr>
    <w:rPr>
      <w:rFonts w:ascii="Times New Roman" w:eastAsia="Times New Roman" w:hAnsi="Times New Roman"/>
      <w:sz w:val="19"/>
      <w:szCs w:val="20"/>
    </w:rPr>
  </w:style>
  <w:style w:type="paragraph" w:customStyle="1" w:styleId="BDAbstract">
    <w:name w:val="BD_Abstract"/>
    <w:basedOn w:val="Normal"/>
    <w:next w:val="TAMainText"/>
    <w:uiPriority w:val="99"/>
    <w:rsid w:val="00CF4DAF"/>
    <w:pPr>
      <w:pBdr>
        <w:top w:val="single" w:sz="4" w:space="10" w:color="auto"/>
        <w:bottom w:val="single" w:sz="4" w:space="10" w:color="auto"/>
      </w:pBdr>
      <w:spacing w:before="240" w:after="0" w:line="230" w:lineRule="exact"/>
      <w:jc w:val="both"/>
    </w:pPr>
    <w:rPr>
      <w:rFonts w:ascii="Times New Roman" w:eastAsia="Times New Roman" w:hAnsi="Times New Roman"/>
      <w:sz w:val="20"/>
      <w:szCs w:val="20"/>
    </w:rPr>
  </w:style>
  <w:style w:type="table" w:styleId="TableGrid">
    <w:name w:val="Table Grid"/>
    <w:basedOn w:val="TableNormal"/>
    <w:uiPriority w:val="99"/>
    <w:locked/>
    <w:rsid w:val="002003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2003E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2003E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99"/>
    <w:rsid w:val="002003E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EndnoteReference">
    <w:name w:val="endnote reference"/>
    <w:uiPriority w:val="99"/>
    <w:semiHidden/>
    <w:rsid w:val="00E8618B"/>
    <w:rPr>
      <w:rFonts w:ascii="Times" w:hAnsi="Times" w:cs="Times New Roman"/>
      <w:sz w:val="16"/>
      <w:vertAlign w:val="superscript"/>
    </w:rPr>
  </w:style>
  <w:style w:type="paragraph" w:customStyle="1" w:styleId="TFReferencesSection">
    <w:name w:val="TF_References_Section"/>
    <w:basedOn w:val="Normal"/>
    <w:uiPriority w:val="99"/>
    <w:rsid w:val="00E8618B"/>
    <w:pPr>
      <w:spacing w:after="0" w:line="160" w:lineRule="exact"/>
      <w:jc w:val="both"/>
    </w:pPr>
    <w:rPr>
      <w:rFonts w:ascii="Times New Roman" w:eastAsia="Times New Roman" w:hAnsi="Times New Roman"/>
      <w:sz w:val="15"/>
      <w:szCs w:val="20"/>
    </w:rPr>
  </w:style>
  <w:style w:type="paragraph" w:customStyle="1" w:styleId="BATitle">
    <w:name w:val="BA_Title"/>
    <w:next w:val="BBAuthorName"/>
    <w:uiPriority w:val="99"/>
    <w:rsid w:val="00E8618B"/>
    <w:pPr>
      <w:spacing w:line="260" w:lineRule="exact"/>
      <w:jc w:val="center"/>
    </w:pPr>
    <w:rPr>
      <w:rFonts w:ascii="Times New Roman" w:eastAsia="Times New Roman" w:hAnsi="Times New Roman"/>
      <w:b/>
      <w:noProof/>
      <w:sz w:val="22"/>
    </w:rPr>
  </w:style>
  <w:style w:type="paragraph" w:customStyle="1" w:styleId="BBAuthorName">
    <w:name w:val="BB_Author_Name"/>
    <w:basedOn w:val="Normal"/>
    <w:next w:val="BCAuthorAddress"/>
    <w:uiPriority w:val="99"/>
    <w:rsid w:val="00E8618B"/>
    <w:pPr>
      <w:spacing w:before="240" w:after="0" w:line="200" w:lineRule="exact"/>
      <w:jc w:val="center"/>
    </w:pPr>
    <w:rPr>
      <w:rFonts w:ascii="Times New Roman" w:eastAsia="Times New Roman" w:hAnsi="Times New Roman"/>
      <w:sz w:val="19"/>
      <w:szCs w:val="20"/>
    </w:rPr>
  </w:style>
  <w:style w:type="paragraph" w:customStyle="1" w:styleId="BCAuthorAddress">
    <w:name w:val="BC_Author_Address"/>
    <w:basedOn w:val="Normal"/>
    <w:next w:val="AIReceivedDate"/>
    <w:autoRedefine/>
    <w:uiPriority w:val="99"/>
    <w:rsid w:val="002D6D15"/>
    <w:pPr>
      <w:spacing w:before="120" w:after="0" w:line="210" w:lineRule="exact"/>
      <w:jc w:val="center"/>
    </w:pPr>
    <w:rPr>
      <w:rFonts w:ascii="Times New Roman" w:eastAsia="Times New Roman" w:hAnsi="Times New Roman"/>
      <w:i/>
      <w:sz w:val="19"/>
      <w:szCs w:val="19"/>
    </w:rPr>
  </w:style>
  <w:style w:type="paragraph" w:customStyle="1" w:styleId="AIReceivedDate">
    <w:name w:val="AI_Received_Date"/>
    <w:basedOn w:val="Normal"/>
    <w:next w:val="BDAbstract"/>
    <w:uiPriority w:val="99"/>
    <w:rsid w:val="00E8618B"/>
    <w:pPr>
      <w:spacing w:before="200" w:after="0" w:line="210" w:lineRule="exact"/>
      <w:jc w:val="center"/>
    </w:pPr>
    <w:rPr>
      <w:rFonts w:ascii="Times New Roman" w:eastAsia="Times New Roman" w:hAnsi="Times New Roman"/>
      <w:i/>
      <w:sz w:val="19"/>
      <w:szCs w:val="20"/>
    </w:rPr>
  </w:style>
  <w:style w:type="paragraph" w:customStyle="1" w:styleId="TDAcknowledgments">
    <w:name w:val="TD_Acknowledgments"/>
    <w:basedOn w:val="Normal"/>
    <w:next w:val="TESupportingInformation"/>
    <w:uiPriority w:val="99"/>
    <w:rsid w:val="00E8618B"/>
    <w:pPr>
      <w:spacing w:before="200" w:after="0" w:line="210" w:lineRule="exact"/>
      <w:ind w:firstLine="187"/>
      <w:jc w:val="both"/>
    </w:pPr>
    <w:rPr>
      <w:rFonts w:ascii="Times New Roman" w:eastAsia="Times New Roman" w:hAnsi="Times New Roman"/>
      <w:sz w:val="17"/>
      <w:szCs w:val="20"/>
    </w:rPr>
  </w:style>
  <w:style w:type="paragraph" w:customStyle="1" w:styleId="TESupportingInformation">
    <w:name w:val="TE_Supporting_Information"/>
    <w:basedOn w:val="Normal"/>
    <w:uiPriority w:val="99"/>
    <w:rsid w:val="00E8618B"/>
    <w:pPr>
      <w:spacing w:before="200" w:after="0" w:line="200" w:lineRule="exact"/>
      <w:ind w:firstLine="187"/>
      <w:jc w:val="both"/>
    </w:pPr>
    <w:rPr>
      <w:rFonts w:ascii="Times New Roman" w:eastAsia="Times New Roman" w:hAnsi="Times New Roman"/>
      <w:sz w:val="18"/>
      <w:szCs w:val="20"/>
    </w:rPr>
  </w:style>
  <w:style w:type="paragraph" w:customStyle="1" w:styleId="VCSchemeTitle">
    <w:name w:val="VC_Scheme_Title"/>
    <w:basedOn w:val="Normal"/>
    <w:next w:val="Normal"/>
    <w:uiPriority w:val="99"/>
    <w:rsid w:val="005B4DF1"/>
    <w:pPr>
      <w:spacing w:after="0" w:line="200" w:lineRule="exact"/>
    </w:pPr>
    <w:rPr>
      <w:rFonts w:ascii="Times New Roman" w:eastAsia="Times New Roman" w:hAnsi="Times New Roman"/>
      <w:sz w:val="18"/>
      <w:szCs w:val="20"/>
    </w:rPr>
  </w:style>
  <w:style w:type="paragraph" w:customStyle="1" w:styleId="VDTableTitle">
    <w:name w:val="VD_Table_Title"/>
    <w:basedOn w:val="Normal"/>
    <w:next w:val="Normal"/>
    <w:uiPriority w:val="99"/>
    <w:rsid w:val="00E8618B"/>
    <w:pPr>
      <w:spacing w:after="0" w:line="180" w:lineRule="exact"/>
    </w:pPr>
    <w:rPr>
      <w:rFonts w:ascii="Times New Roman" w:eastAsia="Times New Roman" w:hAnsi="Times New Roman"/>
      <w:sz w:val="16"/>
      <w:szCs w:val="20"/>
    </w:rPr>
  </w:style>
  <w:style w:type="paragraph" w:customStyle="1" w:styleId="VAFigureCaption">
    <w:name w:val="VA_Figure_Caption"/>
    <w:basedOn w:val="Normal"/>
    <w:next w:val="Normal"/>
    <w:uiPriority w:val="99"/>
    <w:rsid w:val="00E8618B"/>
    <w:pPr>
      <w:spacing w:after="0" w:line="190" w:lineRule="exact"/>
      <w:jc w:val="both"/>
    </w:pPr>
    <w:rPr>
      <w:rFonts w:ascii="Times New Roman" w:eastAsia="Times New Roman" w:hAnsi="Times New Roman"/>
      <w:sz w:val="17"/>
      <w:szCs w:val="20"/>
    </w:rPr>
  </w:style>
  <w:style w:type="paragraph" w:customStyle="1" w:styleId="TCTableBody">
    <w:name w:val="TC_Table_Body"/>
    <w:basedOn w:val="VDTableTitle"/>
    <w:uiPriority w:val="99"/>
    <w:rsid w:val="00E8618B"/>
  </w:style>
  <w:style w:type="paragraph" w:styleId="Footer">
    <w:name w:val="footer"/>
    <w:basedOn w:val="Normal"/>
    <w:link w:val="FooterChar"/>
    <w:uiPriority w:val="99"/>
    <w:rsid w:val="00E8618B"/>
    <w:pPr>
      <w:tabs>
        <w:tab w:val="center" w:pos="4320"/>
        <w:tab w:val="right" w:pos="8640"/>
      </w:tabs>
      <w:spacing w:after="0" w:line="240" w:lineRule="auto"/>
      <w:jc w:val="both"/>
    </w:pPr>
    <w:rPr>
      <w:rFonts w:ascii="NewCenturySchlbk" w:eastAsia="Times New Roman" w:hAnsi="NewCenturySchlbk"/>
      <w:szCs w:val="20"/>
    </w:rPr>
  </w:style>
  <w:style w:type="character" w:customStyle="1" w:styleId="FooterChar">
    <w:name w:val="Footer Char"/>
    <w:link w:val="Footer"/>
    <w:uiPriority w:val="99"/>
    <w:locked/>
    <w:rsid w:val="00E8618B"/>
    <w:rPr>
      <w:rFonts w:ascii="NewCenturySchlbk" w:hAnsi="NewCenturySchlbk" w:cs="Times New Roman"/>
      <w:sz w:val="22"/>
    </w:rPr>
  </w:style>
  <w:style w:type="character" w:styleId="PageNumber">
    <w:name w:val="page number"/>
    <w:uiPriority w:val="99"/>
    <w:rsid w:val="00E8618B"/>
    <w:rPr>
      <w:rFonts w:cs="Times New Roman"/>
    </w:rPr>
  </w:style>
  <w:style w:type="character" w:styleId="Strong">
    <w:name w:val="Strong"/>
    <w:uiPriority w:val="99"/>
    <w:qFormat/>
    <w:locked/>
    <w:rsid w:val="002F0ADF"/>
    <w:rPr>
      <w:rFonts w:cs="Times New Roman"/>
      <w:b/>
      <w:bCs/>
    </w:rPr>
  </w:style>
  <w:style w:type="character" w:styleId="Emphasis">
    <w:name w:val="Emphasis"/>
    <w:uiPriority w:val="99"/>
    <w:qFormat/>
    <w:locked/>
    <w:rsid w:val="002F0ADF"/>
    <w:rPr>
      <w:rFonts w:cs="Times New Roman"/>
      <w:i/>
      <w:iCs/>
    </w:rPr>
  </w:style>
  <w:style w:type="paragraph" w:customStyle="1" w:styleId="sectionheading">
    <w:name w:val="section heading"/>
    <w:next w:val="TCTableBody"/>
    <w:uiPriority w:val="99"/>
    <w:rsid w:val="000B65C0"/>
    <w:pPr>
      <w:spacing w:line="360" w:lineRule="auto"/>
    </w:pPr>
    <w:rPr>
      <w:rFonts w:ascii="Times New Roman" w:eastAsia="Times New Roman" w:hAnsi="Times New Roman"/>
      <w:b/>
      <w:sz w:val="19"/>
    </w:rPr>
  </w:style>
  <w:style w:type="paragraph" w:styleId="Header">
    <w:name w:val="header"/>
    <w:basedOn w:val="Normal"/>
    <w:link w:val="HeaderChar"/>
    <w:uiPriority w:val="99"/>
    <w:semiHidden/>
    <w:rsid w:val="00847086"/>
    <w:pPr>
      <w:tabs>
        <w:tab w:val="center" w:pos="4680"/>
        <w:tab w:val="right" w:pos="9360"/>
      </w:tabs>
      <w:spacing w:after="0" w:line="240" w:lineRule="auto"/>
    </w:pPr>
  </w:style>
  <w:style w:type="character" w:customStyle="1" w:styleId="HeaderChar">
    <w:name w:val="Header Char"/>
    <w:link w:val="Header"/>
    <w:uiPriority w:val="99"/>
    <w:semiHidden/>
    <w:locked/>
    <w:rsid w:val="00847086"/>
    <w:rPr>
      <w:rFonts w:cs="Times New Roman"/>
      <w:sz w:val="22"/>
      <w:szCs w:val="22"/>
    </w:rPr>
  </w:style>
  <w:style w:type="character" w:styleId="FollowedHyperlink">
    <w:name w:val="FollowedHyperlink"/>
    <w:basedOn w:val="DefaultParagraphFont"/>
    <w:uiPriority w:val="99"/>
    <w:semiHidden/>
    <w:unhideWhenUsed/>
    <w:rsid w:val="00614054"/>
    <w:rPr>
      <w:color w:val="800080" w:themeColor="followedHyperlink"/>
      <w:u w:val="single"/>
    </w:rPr>
  </w:style>
  <w:style w:type="character" w:customStyle="1" w:styleId="Heading1Char">
    <w:name w:val="Heading 1 Char"/>
    <w:basedOn w:val="DefaultParagraphFont"/>
    <w:link w:val="Heading1"/>
    <w:uiPriority w:val="9"/>
    <w:rsid w:val="00145AE3"/>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142">
      <w:bodyDiv w:val="1"/>
      <w:marLeft w:val="0"/>
      <w:marRight w:val="0"/>
      <w:marTop w:val="0"/>
      <w:marBottom w:val="0"/>
      <w:divBdr>
        <w:top w:val="none" w:sz="0" w:space="0" w:color="auto"/>
        <w:left w:val="none" w:sz="0" w:space="0" w:color="auto"/>
        <w:bottom w:val="none" w:sz="0" w:space="0" w:color="auto"/>
        <w:right w:val="none" w:sz="0" w:space="0" w:color="auto"/>
      </w:divBdr>
    </w:div>
    <w:div w:id="1110122113">
      <w:bodyDiv w:val="1"/>
      <w:marLeft w:val="0"/>
      <w:marRight w:val="0"/>
      <w:marTop w:val="0"/>
      <w:marBottom w:val="0"/>
      <w:divBdr>
        <w:top w:val="none" w:sz="0" w:space="0" w:color="auto"/>
        <w:left w:val="none" w:sz="0" w:space="0" w:color="auto"/>
        <w:bottom w:val="none" w:sz="0" w:space="0" w:color="auto"/>
        <w:right w:val="none" w:sz="0" w:space="0" w:color="auto"/>
      </w:divBdr>
    </w:div>
    <w:div w:id="1750271865">
      <w:bodyDiv w:val="1"/>
      <w:marLeft w:val="0"/>
      <w:marRight w:val="0"/>
      <w:marTop w:val="0"/>
      <w:marBottom w:val="0"/>
      <w:divBdr>
        <w:top w:val="none" w:sz="0" w:space="0" w:color="auto"/>
        <w:left w:val="none" w:sz="0" w:space="0" w:color="auto"/>
        <w:bottom w:val="none" w:sz="0" w:space="0" w:color="auto"/>
        <w:right w:val="none" w:sz="0" w:space="0" w:color="auto"/>
      </w:divBdr>
    </w:div>
    <w:div w:id="20619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8EE9-D698-3C4E-8DFE-68D7723C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2698</TotalTime>
  <Pages>4</Pages>
  <Words>2035</Words>
  <Characters>11606</Characters>
  <Application>Microsoft Macintosh Word</Application>
  <DocSecurity>0</DocSecurity>
  <Lines>96</Lines>
  <Paragraphs>27</Paragraphs>
  <ScaleCrop>false</ScaleCrop>
  <Company>None</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dc:creator>
  <cp:keywords/>
  <dc:description/>
  <cp:lastModifiedBy>Rich</cp:lastModifiedBy>
  <cp:revision>80</cp:revision>
  <cp:lastPrinted>2009-03-01T19:33:00Z</cp:lastPrinted>
  <dcterms:created xsi:type="dcterms:W3CDTF">2015-02-15T23:44:00Z</dcterms:created>
  <dcterms:modified xsi:type="dcterms:W3CDTF">2015-03-14T21:27:00Z</dcterms:modified>
</cp:coreProperties>
</file>