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F4" w:rsidRPr="007E5577" w:rsidRDefault="004C2631" w:rsidP="007E5577">
      <w:pPr>
        <w:tabs>
          <w:tab w:val="center" w:pos="4680"/>
          <w:tab w:val="left" w:pos="6270"/>
        </w:tabs>
        <w:spacing w:line="240" w:lineRule="auto"/>
      </w:pPr>
      <w:r w:rsidRPr="007E5577">
        <w:tab/>
      </w:r>
      <w:r w:rsidR="00351942" w:rsidRPr="007E5577">
        <w:t>Post-Laboratory Write Up</w:t>
      </w:r>
      <w:r w:rsidRPr="007E5577">
        <w:tab/>
      </w:r>
    </w:p>
    <w:p w:rsidR="004C2631" w:rsidRPr="007E5577" w:rsidRDefault="008D2B30" w:rsidP="007E5577">
      <w:pPr>
        <w:tabs>
          <w:tab w:val="center" w:pos="4680"/>
          <w:tab w:val="left" w:pos="6270"/>
        </w:tabs>
        <w:spacing w:line="240" w:lineRule="auto"/>
        <w:jc w:val="center"/>
      </w:pPr>
      <w:r w:rsidRPr="007E5577">
        <w:t>Partner</w:t>
      </w:r>
      <w:r w:rsidR="005C7CFB">
        <w:t>s</w:t>
      </w:r>
      <w:r w:rsidR="004C2631" w:rsidRPr="007E5577">
        <w:t>:</w:t>
      </w:r>
      <w:r w:rsidR="006865A3">
        <w:t xml:space="preserve"> </w:t>
      </w:r>
      <w:r w:rsidR="00A40D1A">
        <w:t>Nikki DeChant and Kenzi Choitz</w:t>
      </w:r>
    </w:p>
    <w:p w:rsidR="00E342FD" w:rsidRPr="007E5577" w:rsidRDefault="000C1624" w:rsidP="005419C3">
      <w:pPr>
        <w:pStyle w:val="VSBullet"/>
        <w:widowControl w:val="0"/>
        <w:spacing w:line="240" w:lineRule="auto"/>
        <w:ind w:left="0" w:firstLine="0"/>
        <w:rPr>
          <w:rFonts w:asciiTheme="minorHAnsi" w:hAnsiTheme="minorHAnsi"/>
          <w:sz w:val="22"/>
          <w:szCs w:val="22"/>
        </w:rPr>
      </w:pPr>
      <w:r w:rsidRPr="00841231">
        <w:rPr>
          <w:rFonts w:asciiTheme="minorHAnsi" w:hAnsiTheme="minorHAnsi"/>
          <w:b/>
          <w:sz w:val="22"/>
          <w:szCs w:val="22"/>
        </w:rPr>
        <w:t>Introduction</w:t>
      </w:r>
      <w:r w:rsidRPr="007E5577">
        <w:rPr>
          <w:rFonts w:asciiTheme="minorHAnsi" w:hAnsiTheme="minorHAnsi"/>
          <w:sz w:val="22"/>
          <w:szCs w:val="22"/>
        </w:rPr>
        <w:t xml:space="preserve">: </w:t>
      </w:r>
      <w:r w:rsidR="0098185D" w:rsidRPr="007E5577">
        <w:rPr>
          <w:rFonts w:asciiTheme="minorHAnsi" w:hAnsiTheme="minorHAnsi"/>
          <w:sz w:val="22"/>
          <w:szCs w:val="22"/>
        </w:rPr>
        <w:t xml:space="preserve">In this lab, we are to: </w:t>
      </w:r>
      <w:r w:rsidR="00E342FD" w:rsidRPr="007E5577">
        <w:rPr>
          <w:rFonts w:asciiTheme="minorHAnsi" w:hAnsiTheme="minorHAnsi"/>
          <w:sz w:val="22"/>
          <w:szCs w:val="22"/>
        </w:rPr>
        <w:t xml:space="preserve">1) </w:t>
      </w:r>
      <w:r w:rsidR="001C1719">
        <w:rPr>
          <w:rFonts w:asciiTheme="minorHAnsi" w:hAnsiTheme="minorHAnsi"/>
          <w:sz w:val="22"/>
          <w:szCs w:val="22"/>
        </w:rPr>
        <w:t>Make measurements of the pertinent physical properties associated with the fifteen solids provided by the professor, in order to compute the density of each solid; and 2) With the densities, predict the material each solid is made out of.</w:t>
      </w:r>
    </w:p>
    <w:p w:rsidR="00E342FD" w:rsidRPr="007E5577" w:rsidRDefault="00E342FD" w:rsidP="007E5577">
      <w:pPr>
        <w:pStyle w:val="VSBullet"/>
        <w:widowControl w:val="0"/>
        <w:spacing w:line="240" w:lineRule="auto"/>
        <w:ind w:left="0" w:firstLine="0"/>
        <w:rPr>
          <w:rFonts w:asciiTheme="minorHAnsi" w:hAnsiTheme="minorHAnsi"/>
          <w:sz w:val="22"/>
          <w:szCs w:val="22"/>
        </w:rPr>
      </w:pPr>
    </w:p>
    <w:p w:rsidR="001E6739" w:rsidRDefault="00F355E0" w:rsidP="00D02698">
      <w:pPr>
        <w:tabs>
          <w:tab w:val="left" w:pos="2265"/>
        </w:tabs>
        <w:spacing w:line="240" w:lineRule="auto"/>
      </w:pPr>
      <w:r w:rsidRPr="00841231">
        <w:rPr>
          <w:b/>
        </w:rPr>
        <w:t>Methodology</w:t>
      </w:r>
      <w:r>
        <w:t>:</w:t>
      </w:r>
      <w:r w:rsidR="007D71AD">
        <w:t xml:space="preserve"> </w:t>
      </w:r>
      <w:r w:rsidR="00256D0D">
        <w:t>Using a Vernier scale, we had to collect the height, mass, and diameter of each solid in order to calculate the volume and density.</w:t>
      </w:r>
      <w:r w:rsidR="001806A5">
        <w:t xml:space="preserve"> </w:t>
      </w:r>
      <w:r w:rsidR="00256D0D">
        <w:t xml:space="preserve">Using the Vernier scale will allow us to have a better measurement thus a slim propagation of error. Realizing the solids are different shapes, we obviously had to use different formulas to calculate their respectable volume. However, Solids A-G were </w:t>
      </w:r>
      <w:r w:rsidR="005E6D6E">
        <w:t>too tall to use the Vernier scale;</w:t>
      </w:r>
      <w:r w:rsidR="00256D0D">
        <w:t xml:space="preserve"> in order to find the height </w:t>
      </w:r>
      <w:r w:rsidR="005E6D6E">
        <w:t>of these solids</w:t>
      </w:r>
      <w:r w:rsidR="00256D0D">
        <w:t xml:space="preserve">, we had to use a meter ruler, which created a greater propagation of error. The Figure 1.1 illustrates what solids we were using. </w:t>
      </w:r>
    </w:p>
    <w:p w:rsidR="007D71AD" w:rsidRDefault="00256D0D" w:rsidP="001806A5">
      <w:pPr>
        <w:tabs>
          <w:tab w:val="left" w:pos="2265"/>
        </w:tabs>
        <w:spacing w:line="240" w:lineRule="auto"/>
        <w:jc w:val="center"/>
      </w:pPr>
      <w:r>
        <w:rPr>
          <w:noProof/>
        </w:rPr>
        <w:drawing>
          <wp:inline distT="0" distB="0" distL="0" distR="0">
            <wp:extent cx="3838575" cy="511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8575" cy="5114925"/>
                    </a:xfrm>
                    <a:prstGeom prst="rect">
                      <a:avLst/>
                    </a:prstGeom>
                    <a:noFill/>
                    <a:ln>
                      <a:noFill/>
                    </a:ln>
                  </pic:spPr>
                </pic:pic>
              </a:graphicData>
            </a:graphic>
          </wp:inline>
        </w:drawing>
      </w:r>
    </w:p>
    <w:p w:rsidR="00256D0D" w:rsidRPr="005E6D6E" w:rsidRDefault="00256D0D" w:rsidP="001806A5">
      <w:pPr>
        <w:tabs>
          <w:tab w:val="left" w:pos="2265"/>
        </w:tabs>
        <w:spacing w:line="240" w:lineRule="auto"/>
        <w:jc w:val="center"/>
        <w:rPr>
          <w:b/>
        </w:rPr>
      </w:pPr>
      <w:r w:rsidRPr="005E6D6E">
        <w:rPr>
          <w:b/>
        </w:rPr>
        <w:t>Figure 1.1</w:t>
      </w:r>
    </w:p>
    <w:p w:rsidR="006D092F" w:rsidRDefault="006D092F" w:rsidP="001806A5">
      <w:pPr>
        <w:tabs>
          <w:tab w:val="left" w:pos="2265"/>
        </w:tabs>
        <w:spacing w:line="240" w:lineRule="auto"/>
        <w:jc w:val="center"/>
      </w:pPr>
    </w:p>
    <w:p w:rsidR="007D71AD" w:rsidRDefault="007D71AD" w:rsidP="006D092F">
      <w:pPr>
        <w:tabs>
          <w:tab w:val="left" w:pos="2265"/>
        </w:tabs>
        <w:spacing w:line="240" w:lineRule="auto"/>
        <w:jc w:val="center"/>
      </w:pPr>
    </w:p>
    <w:p w:rsidR="00796D9B" w:rsidRDefault="00796D9B" w:rsidP="00D02698">
      <w:pPr>
        <w:tabs>
          <w:tab w:val="left" w:pos="2265"/>
        </w:tabs>
        <w:spacing w:line="240" w:lineRule="auto"/>
      </w:pPr>
      <w:r w:rsidRPr="00841231">
        <w:rPr>
          <w:b/>
        </w:rPr>
        <w:t>Results</w:t>
      </w:r>
      <w:r>
        <w:t>:</w:t>
      </w:r>
      <w:r w:rsidR="001806A5">
        <w:t xml:space="preserve"> </w:t>
      </w:r>
      <w:r w:rsidR="00256D0D">
        <w:t>After calculated the volume, thus being able to further this investigation by calculating the density of each solid, we were able to predict what each solid was made from. Figure 1.2 will give you a better idea on the calculations we computed, as well as our predictions.</w:t>
      </w:r>
    </w:p>
    <w:tbl>
      <w:tblPr>
        <w:tblW w:w="10320" w:type="dxa"/>
        <w:jc w:val="center"/>
        <w:tblLook w:val="04A0" w:firstRow="1" w:lastRow="0" w:firstColumn="1" w:lastColumn="0" w:noHBand="0" w:noVBand="1"/>
      </w:tblPr>
      <w:tblGrid>
        <w:gridCol w:w="399"/>
        <w:gridCol w:w="1080"/>
        <w:gridCol w:w="1360"/>
        <w:gridCol w:w="1100"/>
        <w:gridCol w:w="980"/>
        <w:gridCol w:w="1300"/>
        <w:gridCol w:w="1260"/>
        <w:gridCol w:w="1260"/>
        <w:gridCol w:w="1660"/>
      </w:tblGrid>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Solid</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Diameter (m)</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Height (m)</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Mass (kg)</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Volume (m³)</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ρ(kg/m³)</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ρ(g/cm³)</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Predictions</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0.0066</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0.6</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0.147</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2.05272E-05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7161.2417</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7.1612417</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Cast Iron</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B</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0.0065</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0.599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0.153</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1.98767E-05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7697.470156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7.697470156</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Iron</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3</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C</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0.0067</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0.6</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0.149</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2.11539E-05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7043.613729</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7.043613729</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Neodymium</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4</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D</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0.0064</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0.6</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0.146</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1.93019E-05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7564.004457</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7.564004457</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Samarium</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5</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E</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0.0054</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0.6</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0.165</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1.37413E-05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12007.57458</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12.00757458</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Palladium</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6</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F</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0.0067</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0.6</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0.155</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2.11539E-05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7327.249181</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7.327249181</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Manganese</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7</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G</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0.0064</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0.599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0.162</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1.92698E-05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8406.948032</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8.406948032</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Copper</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A1</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0.0129</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0.0499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0.018</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6.52184E-06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2759.959171</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2.759959171</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Aluminum- 3003</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9</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A2</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0.0129</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0.0508</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0.055</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6.63946E-06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8283.801341</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8.283801341</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Brass</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10</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A3</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0.0129</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0.0509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0.018</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6.65253E-06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2705.736005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2.705736005</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Aluminum- 6061</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11</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A4</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0.0129</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0.0499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0.053</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6.52184E-06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8126.546449</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8.126546449</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Nickel- Alloy 825</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12</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SPHERE</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0.0186</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0.028</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3.36928E-06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8310.374137</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8.310374137</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Nickel- Alloy G-3</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13</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CUBOID</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0.0499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0.045</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1.62874E-05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2762.878699</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2.762878699</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Aluminum- 2024</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14</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SHORT CYL</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0.0158</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0.0231</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0.013</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4.52914E-06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2870.300173</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2.870300173</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Aluminum- 7178</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15</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OUTER CYL</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0.0189</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0.0614</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1.72259E-05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15</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INNER CYL</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0.0093</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0.0429</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2.91416E-06</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15</w:t>
            </w: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H.C.</w:t>
            </w: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w:t>
            </w: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0.039</w:t>
            </w: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1.43117E-05</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2725.035578</w:t>
            </w: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2.725035578</w:t>
            </w: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r w:rsidRPr="00256D0D">
              <w:rPr>
                <w:rFonts w:ascii="Calibri" w:eastAsia="Times New Roman" w:hAnsi="Calibri" w:cs="Times New Roman"/>
                <w:color w:val="000000"/>
                <w:sz w:val="18"/>
              </w:rPr>
              <w:t>Aluminum- 1100</w:t>
            </w: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Calibri" w:eastAsia="Times New Roman" w:hAnsi="Calibri" w:cs="Times New Roman"/>
                <w:color w:val="000000"/>
                <w:sz w:val="18"/>
              </w:rPr>
            </w:pP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1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9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30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2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5900" w:type="dxa"/>
            <w:gridSpan w:val="5"/>
            <w:tcBorders>
              <w:top w:val="nil"/>
              <w:left w:val="nil"/>
              <w:bottom w:val="nil"/>
              <w:right w:val="nil"/>
            </w:tcBorders>
            <w:shd w:val="clear" w:color="auto" w:fill="auto"/>
            <w:noWrap/>
            <w:vAlign w:val="center"/>
            <w:hideMark/>
          </w:tcPr>
          <w:p w:rsidR="00256D0D" w:rsidRPr="00256D0D" w:rsidRDefault="00C957C8" w:rsidP="00256D0D">
            <w:pPr>
              <w:spacing w:after="0" w:line="240" w:lineRule="auto"/>
              <w:rPr>
                <w:rFonts w:ascii="Calibri" w:eastAsia="Times New Roman" w:hAnsi="Calibri" w:cs="Times New Roman"/>
                <w:color w:val="0563C1"/>
                <w:sz w:val="18"/>
                <w:u w:val="single"/>
              </w:rPr>
            </w:pPr>
            <w:hyperlink r:id="rId9" w:history="1">
              <w:r w:rsidR="00256D0D" w:rsidRPr="00256D0D">
                <w:rPr>
                  <w:rFonts w:ascii="Calibri" w:eastAsia="Times New Roman" w:hAnsi="Calibri" w:cs="Times New Roman"/>
                  <w:color w:val="0563C1"/>
                  <w:sz w:val="18"/>
                  <w:u w:val="single"/>
                </w:rPr>
                <w:t>http://www.avlandesign.com/density_metal.htm</w:t>
              </w:r>
            </w:hyperlink>
          </w:p>
        </w:tc>
        <w:tc>
          <w:tcPr>
            <w:tcW w:w="16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rPr>
                <w:rFonts w:ascii="Calibri" w:eastAsia="Times New Roman" w:hAnsi="Calibri" w:cs="Times New Roman"/>
                <w:color w:val="0563C1"/>
                <w:sz w:val="18"/>
                <w:u w:val="single"/>
              </w:rPr>
            </w:pPr>
          </w:p>
        </w:tc>
      </w:tr>
      <w:tr w:rsidR="00256D0D" w:rsidRPr="00256D0D" w:rsidTr="005E6D6E">
        <w:trPr>
          <w:trHeight w:val="300"/>
          <w:jc w:val="center"/>
        </w:trPr>
        <w:tc>
          <w:tcPr>
            <w:tcW w:w="32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08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1360" w:type="dxa"/>
            <w:tcBorders>
              <w:top w:val="nil"/>
              <w:left w:val="nil"/>
              <w:bottom w:val="nil"/>
              <w:right w:val="nil"/>
            </w:tcBorders>
            <w:shd w:val="clear" w:color="auto" w:fill="auto"/>
            <w:noWrap/>
            <w:vAlign w:val="center"/>
            <w:hideMark/>
          </w:tcPr>
          <w:p w:rsidR="00256D0D" w:rsidRPr="00256D0D" w:rsidRDefault="00256D0D" w:rsidP="00256D0D">
            <w:pPr>
              <w:spacing w:after="0" w:line="240" w:lineRule="auto"/>
              <w:jc w:val="center"/>
              <w:rPr>
                <w:rFonts w:ascii="Times New Roman" w:eastAsia="Times New Roman" w:hAnsi="Times New Roman" w:cs="Times New Roman"/>
                <w:sz w:val="18"/>
                <w:szCs w:val="20"/>
              </w:rPr>
            </w:pPr>
          </w:p>
        </w:tc>
        <w:tc>
          <w:tcPr>
            <w:tcW w:w="7560" w:type="dxa"/>
            <w:gridSpan w:val="6"/>
            <w:tcBorders>
              <w:top w:val="nil"/>
              <w:left w:val="nil"/>
              <w:bottom w:val="nil"/>
              <w:right w:val="nil"/>
            </w:tcBorders>
            <w:shd w:val="clear" w:color="auto" w:fill="auto"/>
            <w:noWrap/>
            <w:vAlign w:val="center"/>
            <w:hideMark/>
          </w:tcPr>
          <w:p w:rsidR="00256D0D" w:rsidRPr="00256D0D" w:rsidRDefault="00C957C8" w:rsidP="00256D0D">
            <w:pPr>
              <w:spacing w:after="0" w:line="240" w:lineRule="auto"/>
              <w:rPr>
                <w:rFonts w:ascii="Calibri" w:eastAsia="Times New Roman" w:hAnsi="Calibri" w:cs="Times New Roman"/>
                <w:color w:val="0563C1"/>
                <w:sz w:val="18"/>
                <w:u w:val="single"/>
              </w:rPr>
            </w:pPr>
            <w:hyperlink r:id="rId10" w:history="1">
              <w:r w:rsidR="00256D0D" w:rsidRPr="00256D0D">
                <w:rPr>
                  <w:rFonts w:ascii="Calibri" w:eastAsia="Times New Roman" w:hAnsi="Calibri" w:cs="Times New Roman"/>
                  <w:color w:val="0563C1"/>
                  <w:sz w:val="18"/>
                  <w:u w:val="single"/>
                </w:rPr>
                <w:t>http://www.argentumsolutions.com/corcalculator/Alloydensity.html</w:t>
              </w:r>
            </w:hyperlink>
          </w:p>
        </w:tc>
      </w:tr>
    </w:tbl>
    <w:p w:rsidR="00E24C8F" w:rsidRDefault="005E6D6E" w:rsidP="00E24C8F">
      <w:pPr>
        <w:tabs>
          <w:tab w:val="left" w:pos="2265"/>
        </w:tabs>
        <w:spacing w:line="240" w:lineRule="auto"/>
        <w:jc w:val="center"/>
        <w:rPr>
          <w:b/>
        </w:rPr>
      </w:pPr>
      <w:r w:rsidRPr="005E6D6E">
        <w:rPr>
          <w:b/>
        </w:rPr>
        <w:t>Figure 1.2</w:t>
      </w:r>
    </w:p>
    <w:p w:rsidR="005E6D6E" w:rsidRDefault="00256D0D" w:rsidP="00256D0D">
      <w:r w:rsidRPr="00841231">
        <w:rPr>
          <w:b/>
        </w:rPr>
        <w:t>Analysis</w:t>
      </w:r>
      <w:r>
        <w:t>:</w:t>
      </w:r>
      <w:r w:rsidR="005E6D6E">
        <w:t xml:space="preserve"> </w:t>
      </w:r>
      <w:r w:rsidR="00335170">
        <w:t xml:space="preserve">In figure 1.2, there are several that have a “-“ only because we did not need to calculate it. </w:t>
      </w:r>
      <w:r w:rsidR="00E917B2">
        <w:t xml:space="preserve">For example, in order </w:t>
      </w:r>
      <w:r w:rsidR="00335170">
        <w:t xml:space="preserve">to </w:t>
      </w:r>
      <w:r w:rsidR="006544BC">
        <w:t>calculate</w:t>
      </w:r>
      <w:r w:rsidR="00335170">
        <w:t xml:space="preserve"> the volume</w:t>
      </w:r>
      <w:r w:rsidR="00E917B2">
        <w:t xml:space="preserve"> of the hollow cylinder</w:t>
      </w:r>
      <w:r w:rsidR="00335170">
        <w:t xml:space="preserve">, we took the difference of the outer cylinder and inner cylinder. The sources we used to predict the solids are also provided in Figure 1.2. </w:t>
      </w:r>
      <w:r w:rsidR="005E6D6E">
        <w:t>We used the following equations for calculation during this lab:</w:t>
      </w:r>
    </w:p>
    <w:p w:rsidR="005E6D6E" w:rsidRPr="005E6D6E" w:rsidRDefault="005E6D6E" w:rsidP="005E6D6E">
      <w:pPr>
        <w:pStyle w:val="ListParagraph"/>
        <w:numPr>
          <w:ilvl w:val="0"/>
          <w:numId w:val="6"/>
        </w:numPr>
      </w:pPr>
      <w:r>
        <w:t xml:space="preserve">Volume (Cylinder): </w:t>
      </w:r>
      <m:oMath>
        <m:sSub>
          <m:sSubPr>
            <m:ctrlPr>
              <w:rPr>
                <w:rFonts w:ascii="Cambria Math" w:hAnsi="Cambria Math"/>
                <w:i/>
              </w:rPr>
            </m:ctrlPr>
          </m:sSubPr>
          <m:e>
            <m:r>
              <w:rPr>
                <w:rFonts w:ascii="Cambria Math" w:hAnsi="Cambria Math"/>
              </w:rPr>
              <m:t>V</m:t>
            </m:r>
          </m:e>
          <m:sub>
            <m:r>
              <w:rPr>
                <w:rFonts w:ascii="Cambria Math" w:hAnsi="Cambria Math"/>
              </w:rPr>
              <m:t>Cl</m:t>
            </m:r>
          </m:sub>
        </m:sSub>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rsidR="005E0D09">
        <w:rPr>
          <w:rFonts w:eastAsiaTheme="minorEastAsia"/>
        </w:rPr>
        <w:t xml:space="preserve">; where </w:t>
      </w:r>
      <m:oMath>
        <m:r>
          <w:rPr>
            <w:rFonts w:ascii="Cambria Math" w:hAnsi="Cambria Math"/>
          </w:rPr>
          <m:t>r</m:t>
        </m:r>
      </m:oMath>
      <w:r w:rsidR="005E0D09">
        <w:rPr>
          <w:rFonts w:eastAsiaTheme="minorEastAsia"/>
        </w:rPr>
        <w:t xml:space="preserve"> is the radius, and </w:t>
      </w:r>
      <m:oMath>
        <m:r>
          <w:rPr>
            <w:rFonts w:ascii="Cambria Math" w:hAnsi="Cambria Math"/>
          </w:rPr>
          <m:t>h</m:t>
        </m:r>
      </m:oMath>
      <w:r w:rsidR="005E0D09">
        <w:rPr>
          <w:rFonts w:eastAsiaTheme="minorEastAsia"/>
        </w:rPr>
        <w:t xml:space="preserve"> is the height.</w:t>
      </w:r>
    </w:p>
    <w:p w:rsidR="005E6D6E" w:rsidRPr="005E6D6E" w:rsidRDefault="005E6D6E" w:rsidP="005E6D6E">
      <w:pPr>
        <w:pStyle w:val="ListParagraph"/>
        <w:numPr>
          <w:ilvl w:val="0"/>
          <w:numId w:val="6"/>
        </w:numPr>
      </w:pPr>
      <w:r>
        <w:rPr>
          <w:rFonts w:eastAsiaTheme="minorEastAsia"/>
        </w:rPr>
        <w:t xml:space="preserve">Volume (Cuboid): </w:t>
      </w:r>
      <m:oMath>
        <m:sSub>
          <m:sSubPr>
            <m:ctrlPr>
              <w:rPr>
                <w:rFonts w:ascii="Cambria Math" w:hAnsi="Cambria Math"/>
                <w:i/>
              </w:rPr>
            </m:ctrlPr>
          </m:sSubPr>
          <m:e>
            <m:r>
              <w:rPr>
                <w:rFonts w:ascii="Cambria Math" w:hAnsi="Cambria Math"/>
              </w:rPr>
              <m:t>V</m:t>
            </m:r>
          </m:e>
          <m:sub>
            <m:r>
              <w:rPr>
                <w:rFonts w:ascii="Cambria Math" w:hAnsi="Cambria Math"/>
              </w:rPr>
              <m:t>Cu</m:t>
            </m:r>
          </m:sub>
        </m:sSub>
        <m:r>
          <w:rPr>
            <w:rFonts w:ascii="Cambria Math" w:hAnsi="Cambria Math"/>
          </w:rPr>
          <m:t>=l*w*h</m:t>
        </m:r>
      </m:oMath>
      <w:r w:rsidR="005E0D09">
        <w:rPr>
          <w:rFonts w:eastAsiaTheme="minorEastAsia"/>
        </w:rPr>
        <w:t xml:space="preserve">; where </w:t>
      </w:r>
      <m:oMath>
        <m:r>
          <w:rPr>
            <w:rFonts w:ascii="Cambria Math" w:hAnsi="Cambria Math"/>
          </w:rPr>
          <m:t>l</m:t>
        </m:r>
      </m:oMath>
      <w:r w:rsidR="005E0D09">
        <w:rPr>
          <w:rFonts w:eastAsiaTheme="minorEastAsia"/>
        </w:rPr>
        <w:t xml:space="preserve"> is the length, and </w:t>
      </w:r>
      <m:oMath>
        <m:r>
          <w:rPr>
            <w:rFonts w:ascii="Cambria Math" w:hAnsi="Cambria Math"/>
          </w:rPr>
          <m:t>w</m:t>
        </m:r>
      </m:oMath>
      <w:r w:rsidR="005E0D09">
        <w:rPr>
          <w:rFonts w:eastAsiaTheme="minorEastAsia"/>
        </w:rPr>
        <w:t xml:space="preserve"> is the width.</w:t>
      </w:r>
    </w:p>
    <w:p w:rsidR="005E6D6E" w:rsidRPr="005E6D6E" w:rsidRDefault="005E6D6E" w:rsidP="005E6D6E">
      <w:pPr>
        <w:pStyle w:val="ListParagraph"/>
        <w:numPr>
          <w:ilvl w:val="0"/>
          <w:numId w:val="6"/>
        </w:numPr>
      </w:pPr>
      <w:r>
        <w:t xml:space="preserve">Volume (Sphere): </w:t>
      </w:r>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p>
    <w:p w:rsidR="005E6D6E" w:rsidRPr="005E6D6E" w:rsidRDefault="005E6D6E" w:rsidP="005E6D6E">
      <w:pPr>
        <w:pStyle w:val="ListParagraph"/>
        <w:numPr>
          <w:ilvl w:val="0"/>
          <w:numId w:val="6"/>
        </w:numPr>
      </w:pPr>
      <w:r>
        <w:t xml:space="preserve">Density: </w:t>
      </w:r>
      <m:oMath>
        <m:r>
          <w:rPr>
            <w:rFonts w:ascii="Cambria Math" w:hAnsi="Cambria Math"/>
          </w:rPr>
          <m:t>ρ=</m:t>
        </m:r>
        <m:f>
          <m:fPr>
            <m:ctrlPr>
              <w:rPr>
                <w:rFonts w:ascii="Cambria Math" w:hAnsi="Cambria Math"/>
                <w:i/>
              </w:rPr>
            </m:ctrlPr>
          </m:fPr>
          <m:num>
            <m:r>
              <w:rPr>
                <w:rFonts w:ascii="Cambria Math" w:hAnsi="Cambria Math"/>
              </w:rPr>
              <m:t>M</m:t>
            </m:r>
          </m:num>
          <m:den>
            <m:r>
              <w:rPr>
                <w:rFonts w:ascii="Cambria Math" w:hAnsi="Cambria Math"/>
              </w:rPr>
              <m:t>V</m:t>
            </m:r>
          </m:den>
        </m:f>
      </m:oMath>
      <w:r w:rsidR="005E0D09">
        <w:rPr>
          <w:rFonts w:eastAsiaTheme="minorEastAsia"/>
        </w:rPr>
        <w:t xml:space="preserve"> </w:t>
      </w:r>
      <w:r w:rsidR="002B6983">
        <w:rPr>
          <w:rFonts w:eastAsiaTheme="minorEastAsia"/>
        </w:rPr>
        <w:t xml:space="preserve">, where </w:t>
      </w:r>
      <m:oMath>
        <m:r>
          <w:rPr>
            <w:rFonts w:ascii="Cambria Math" w:hAnsi="Cambria Math"/>
          </w:rPr>
          <m:t>M</m:t>
        </m:r>
      </m:oMath>
      <w:r w:rsidR="002B6983">
        <w:rPr>
          <w:rFonts w:eastAsiaTheme="minorEastAsia"/>
        </w:rPr>
        <w:t xml:space="preserve"> is the mass, and </w:t>
      </w:r>
      <m:oMath>
        <m:r>
          <w:rPr>
            <w:rFonts w:ascii="Cambria Math" w:hAnsi="Cambria Math"/>
          </w:rPr>
          <m:t>V</m:t>
        </m:r>
      </m:oMath>
      <w:r w:rsidR="002B6983">
        <w:rPr>
          <w:rFonts w:eastAsiaTheme="minorEastAsia"/>
        </w:rPr>
        <w:t xml:space="preserve"> is the volume.</w:t>
      </w:r>
    </w:p>
    <w:p w:rsidR="001806A5" w:rsidRDefault="00567948" w:rsidP="00256D0D">
      <w:pPr>
        <w:spacing w:line="240" w:lineRule="auto"/>
        <w:rPr>
          <w:rFonts w:eastAsiaTheme="minorEastAsia"/>
        </w:rPr>
      </w:pPr>
      <w:r w:rsidRPr="00841231">
        <w:rPr>
          <w:rFonts w:eastAsiaTheme="minorEastAsia"/>
          <w:b/>
        </w:rPr>
        <w:t>Discussion</w:t>
      </w:r>
      <w:r>
        <w:rPr>
          <w:rFonts w:eastAsiaTheme="minorEastAsia"/>
        </w:rPr>
        <w:t xml:space="preserve">: </w:t>
      </w:r>
      <w:r w:rsidR="00092669">
        <w:rPr>
          <w:rFonts w:eastAsiaTheme="minorEastAsia"/>
        </w:rPr>
        <w:t xml:space="preserve">This lab of course had error of propagation, especially when we had to use the meter stick to measure solids A-G, as stated earlier in this lab report. To calculate the error of propagation, I’m going to include only Solid A just so it is easier to understand, as well as not having to show the steps over and over again. Using Figure 1.2 as a reference will be important. Since we measured the solids in </w:t>
      </w:r>
      <w:r w:rsidR="00092669">
        <w:rPr>
          <w:rFonts w:eastAsiaTheme="minorEastAsia"/>
        </w:rPr>
        <w:lastRenderedPageBreak/>
        <w:t xml:space="preserve">centimeters with the meter stick, I’m going to multiply the measurement by 1/100. Then, </w:t>
      </w:r>
      <w:r w:rsidR="00092669">
        <w:rPr>
          <w:rFonts w:eastAsiaTheme="minorEastAsia"/>
        </w:rPr>
        <w:t>I used the percent uncertainty equation to find my percent error:</w:t>
      </w:r>
    </w:p>
    <w:p w:rsidR="00092669" w:rsidRDefault="00092669" w:rsidP="00256D0D">
      <w:pPr>
        <w:spacing w:line="240" w:lineRule="auto"/>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60A1B368" wp14:editId="366C94E4">
                <wp:simplePos x="0" y="0"/>
                <wp:positionH relativeFrom="column">
                  <wp:posOffset>3438525</wp:posOffset>
                </wp:positionH>
                <wp:positionV relativeFrom="paragraph">
                  <wp:posOffset>113030</wp:posOffset>
                </wp:positionV>
                <wp:extent cx="127635" cy="0"/>
                <wp:effectExtent l="0" t="76200" r="24765"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5ADDF" id="_x0000_t32" coordsize="21600,21600" o:spt="32" o:oned="t" path="m,l21600,21600e" filled="f">
                <v:path arrowok="t" fillok="f" o:connecttype="none"/>
                <o:lock v:ext="edit" shapetype="t"/>
              </v:shapetype>
              <v:shape id="Straight Arrow Connector 4" o:spid="_x0000_s1026" type="#_x0000_t32" style="position:absolute;margin-left:270.75pt;margin-top:8.9pt;width:10.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">
                <v:stroke endarrow="block"/>
              </v:shape>
            </w:pict>
          </mc:Fallback>
        </mc:AlternateContent>
      </w:r>
      <w:r>
        <w:rPr>
          <w:rFonts w:eastAsiaTheme="minorEastAsia"/>
          <w:noProof/>
        </w:rPr>
        <mc:AlternateContent>
          <mc:Choice Requires="wps">
            <w:drawing>
              <wp:anchor distT="0" distB="0" distL="114300" distR="114300" simplePos="0" relativeHeight="251660288" behindDoc="0" locked="0" layoutInCell="1" allowOverlap="1" wp14:anchorId="79555AEE" wp14:editId="5A8E5E76">
                <wp:simplePos x="0" y="0"/>
                <wp:positionH relativeFrom="column">
                  <wp:posOffset>1924050</wp:posOffset>
                </wp:positionH>
                <wp:positionV relativeFrom="paragraph">
                  <wp:posOffset>132080</wp:posOffset>
                </wp:positionV>
                <wp:extent cx="127635" cy="0"/>
                <wp:effectExtent l="0" t="76200" r="2476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45B76" id="Straight Arrow Connector 3" o:spid="_x0000_s1026" type="#_x0000_t32" style="position:absolute;margin-left:151.5pt;margin-top:10.4pt;width:1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">
                <v:stroke endarrow="block"/>
              </v:shape>
            </w:pict>
          </mc:Fallback>
        </mc:AlternateContent>
      </w:r>
      <w:r>
        <w:rPr>
          <w:rFonts w:eastAsiaTheme="minorEastAsia"/>
          <w:noProof/>
        </w:rPr>
        <mc:AlternateContent>
          <mc:Choice Requires="wps">
            <w:drawing>
              <wp:anchor distT="0" distB="0" distL="114300" distR="114300" simplePos="0" relativeHeight="251658240" behindDoc="0" locked="0" layoutInCell="1" allowOverlap="1" wp14:anchorId="52343A70" wp14:editId="38B2BAD2">
                <wp:simplePos x="0" y="0"/>
                <wp:positionH relativeFrom="column">
                  <wp:posOffset>678815</wp:posOffset>
                </wp:positionH>
                <wp:positionV relativeFrom="paragraph">
                  <wp:posOffset>140970</wp:posOffset>
                </wp:positionV>
                <wp:extent cx="127635" cy="0"/>
                <wp:effectExtent l="12065" t="60960" r="22225"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17BFD" id="Straight Arrow Connector 2" o:spid="_x0000_s1026" type="#_x0000_t32" style="position:absolute;margin-left:53.45pt;margin-top:11.1pt;width:1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">
                <v:stroke endarrow="block"/>
              </v:shape>
            </w:pict>
          </mc:Fallback>
        </mc:AlternateContent>
      </w:r>
      <w:r>
        <w:rPr>
          <w:rFonts w:eastAsiaTheme="minorEastAsia"/>
        </w:rPr>
        <w:t>.6</w:t>
      </w:r>
      <w:r>
        <w:rPr>
          <w:rFonts w:eastAsiaTheme="minorEastAsia"/>
        </w:rPr>
        <w:t>m</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.01</m:t>
            </m:r>
          </m:num>
          <m:den>
            <m:r>
              <w:rPr>
                <w:rFonts w:ascii="Cambria Math" w:eastAsiaTheme="minorEastAsia" w:hAnsi="Cambria Math"/>
              </w:rPr>
              <m:t>.6</m:t>
            </m:r>
          </m:den>
        </m:f>
      </m:oMath>
      <w:r>
        <w:rPr>
          <w:rFonts w:eastAsiaTheme="minorEastAsia"/>
        </w:rPr>
        <w:t>m        .6</w:t>
      </w:r>
      <w:r>
        <w:rPr>
          <w:rFonts w:eastAsiaTheme="minorEastAsia"/>
        </w:rPr>
        <w:t>m</w:t>
      </w:r>
      <m:oMath>
        <m:r>
          <w:rPr>
            <w:rFonts w:ascii="Cambria Math" w:eastAsiaTheme="minorEastAsia" w:hAnsi="Cambria Math"/>
          </w:rPr>
          <m:t>±1.66</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m:t>
            </m:r>
            <m:r>
              <w:rPr>
                <w:rFonts w:ascii="Cambria Math" w:eastAsiaTheme="minorEastAsia" w:hAnsi="Cambria Math"/>
              </w:rPr>
              <m:t>2</m:t>
            </m:r>
          </m:sup>
        </m:sSup>
      </m:oMath>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1.66</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m:t>
                </m:r>
                <m:r>
                  <w:rPr>
                    <w:rFonts w:ascii="Cambria Math" w:eastAsiaTheme="minorEastAsia" w:hAnsi="Cambria Math"/>
                  </w:rPr>
                  <m:t>2</m:t>
                </m:r>
              </m:sup>
            </m:sSup>
          </m:e>
        </m:d>
        <m:r>
          <w:rPr>
            <w:rFonts w:ascii="Cambria Math" w:eastAsiaTheme="minorEastAsia" w:hAnsi="Cambria Math"/>
          </w:rPr>
          <m:t>(100%)</m:t>
        </m:r>
      </m:oMath>
      <w:r>
        <w:rPr>
          <w:rFonts w:eastAsiaTheme="minorEastAsia"/>
        </w:rPr>
        <w:t xml:space="preserve">       .6</w:t>
      </w:r>
      <w:r>
        <w:rPr>
          <w:rFonts w:eastAsiaTheme="minorEastAsia"/>
        </w:rPr>
        <w:t>m</w:t>
      </w:r>
      <m:oMath>
        <m:r>
          <w:rPr>
            <w:rFonts w:ascii="Cambria Math" w:eastAsiaTheme="minorEastAsia" w:hAnsi="Cambria Math"/>
          </w:rPr>
          <m:t>±1.66</m:t>
        </m:r>
        <m:r>
          <w:rPr>
            <w:rFonts w:ascii="Cambria Math" w:eastAsiaTheme="minorEastAsia" w:hAnsi="Cambria Math"/>
          </w:rPr>
          <m:t>%</m:t>
        </m:r>
      </m:oMath>
    </w:p>
    <w:p w:rsidR="00092669" w:rsidRDefault="00D1159C" w:rsidP="00256D0D">
      <w:pPr>
        <w:spacing w:line="240" w:lineRule="auto"/>
        <w:rPr>
          <w:rFonts w:eastAsiaTheme="minorEastAsia"/>
        </w:rPr>
      </w:pPr>
      <w:r>
        <w:rPr>
          <w:rFonts w:eastAsiaTheme="minorEastAsia"/>
        </w:rPr>
        <w:t>After solving the percent error, I took into consideration for the</w:t>
      </w:r>
      <w:r>
        <w:rPr>
          <w:rFonts w:eastAsiaTheme="minorEastAsia"/>
        </w:rPr>
        <w:t xml:space="preserve"> volume:</w:t>
      </w:r>
    </w:p>
    <w:p w:rsidR="00D1159C" w:rsidRDefault="00D1159C" w:rsidP="00256D0D">
      <w:pPr>
        <w:spacing w:line="240" w:lineRule="auto"/>
        <w:rPr>
          <w:rFonts w:eastAsiaTheme="minorEastAsia"/>
        </w:rPr>
      </w:pPr>
      <w:r>
        <w:rPr>
          <w:rFonts w:eastAsiaTheme="minorEastAsia"/>
        </w:rPr>
        <w:t xml:space="preserve">V: </w:t>
      </w:r>
      <m:oMath>
        <m:r>
          <w:rPr>
            <w:rFonts w:ascii="Cambria Math" w:eastAsiaTheme="minorEastAsia" w:hAnsi="Cambria Math"/>
          </w:rPr>
          <m:t>2.05</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m:t>
        </m:r>
        <m:r>
          <w:rPr>
            <w:rFonts w:ascii="Cambria Math" w:eastAsiaTheme="minorEastAsia" w:hAnsi="Cambria Math"/>
          </w:rPr>
          <m:t>3*1.66%=</m:t>
        </m:r>
        <m:r>
          <w:rPr>
            <w:rFonts w:ascii="Cambria Math" w:eastAsiaTheme="minorEastAsia" w:hAnsi="Cambria Math"/>
          </w:rPr>
          <m:t>2.05*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m:t>
        </m:r>
        <m:r>
          <w:rPr>
            <w:rFonts w:ascii="Cambria Math" w:eastAsiaTheme="minorEastAsia" w:hAnsi="Cambria Math"/>
          </w:rPr>
          <m:t>5</m:t>
        </m:r>
      </m:oMath>
      <w:r>
        <w:rPr>
          <w:rFonts w:eastAsiaTheme="minorEastAsia"/>
        </w:rPr>
        <w:t xml:space="preserve"> </w:t>
      </w:r>
    </w:p>
    <w:p w:rsidR="00BE4482" w:rsidRPr="00256D0D" w:rsidRDefault="00BE4482" w:rsidP="00256D0D">
      <w:pPr>
        <w:spacing w:line="240" w:lineRule="auto"/>
        <w:rPr>
          <w:rFonts w:eastAsiaTheme="minorEastAsia"/>
        </w:rPr>
      </w:pPr>
      <w:r>
        <w:rPr>
          <w:rFonts w:eastAsiaTheme="minorEastAsia"/>
        </w:rPr>
        <w:t>From the value shown, it is evident that the measurement in the meter stick inflicted a major error of propagation to this</w:t>
      </w:r>
      <w:r w:rsidR="00745E7F">
        <w:rPr>
          <w:rFonts w:eastAsiaTheme="minorEastAsia"/>
        </w:rPr>
        <w:t xml:space="preserve"> investigation</w:t>
      </w:r>
      <w:bookmarkStart w:id="0" w:name="_GoBack"/>
      <w:bookmarkEnd w:id="0"/>
      <w:r>
        <w:rPr>
          <w:rFonts w:eastAsiaTheme="minorEastAsia"/>
        </w:rPr>
        <w:t xml:space="preserve">. </w:t>
      </w:r>
    </w:p>
    <w:sectPr w:rsidR="00BE4482" w:rsidRPr="00256D0D" w:rsidSect="003A7A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C8" w:rsidRDefault="00C957C8" w:rsidP="00C830DF">
      <w:pPr>
        <w:spacing w:after="0" w:line="240" w:lineRule="auto"/>
      </w:pPr>
      <w:r>
        <w:separator/>
      </w:r>
    </w:p>
  </w:endnote>
  <w:endnote w:type="continuationSeparator" w:id="0">
    <w:p w:rsidR="00C957C8" w:rsidRDefault="00C957C8" w:rsidP="00C8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C8" w:rsidRDefault="00C957C8" w:rsidP="00C830DF">
      <w:pPr>
        <w:spacing w:after="0" w:line="240" w:lineRule="auto"/>
      </w:pPr>
      <w:r>
        <w:separator/>
      </w:r>
    </w:p>
  </w:footnote>
  <w:footnote w:type="continuationSeparator" w:id="0">
    <w:p w:rsidR="00C957C8" w:rsidRDefault="00C957C8" w:rsidP="00C83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00" w:rsidRDefault="00A40D1A">
    <w:pPr>
      <w:pStyle w:val="Header"/>
    </w:pPr>
    <w:r>
      <w:t>Richard Welter</w:t>
    </w:r>
    <w:r>
      <w:tab/>
    </w:r>
    <w:r>
      <w:tab/>
      <w:t>PH202L-B</w:t>
    </w:r>
  </w:p>
  <w:p w:rsidR="008F1400" w:rsidRDefault="008F1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6AEB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8EEF8DE"/>
    <w:lvl w:ilvl="0">
      <w:numFmt w:val="bullet"/>
      <w:lvlText w:val="*"/>
      <w:lvlJc w:val="left"/>
    </w:lvl>
  </w:abstractNum>
  <w:abstractNum w:abstractNumId="2">
    <w:nsid w:val="0A82522C"/>
    <w:multiLevelType w:val="hybridMultilevel"/>
    <w:tmpl w:val="00FAE180"/>
    <w:lvl w:ilvl="0" w:tplc="99E42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D48B3"/>
    <w:multiLevelType w:val="hybridMultilevel"/>
    <w:tmpl w:val="142E8C0E"/>
    <w:lvl w:ilvl="0" w:tplc="4CE69AF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B3BB9"/>
    <w:multiLevelType w:val="hybridMultilevel"/>
    <w:tmpl w:val="4ACAB222"/>
    <w:lvl w:ilvl="0" w:tplc="2638B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4E6306"/>
    <w:multiLevelType w:val="hybridMultilevel"/>
    <w:tmpl w:val="AFD03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72" w:legacyIndent="0"/>
        <w:lvlJc w:val="left"/>
        <w:rPr>
          <w:rFonts w:ascii="Symbol" w:hAnsi="Symbol" w:hint="default"/>
          <w:color w:val="000000"/>
          <w:sz w:val="20"/>
        </w:rPr>
      </w:lvl>
    </w:lvlOverride>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42"/>
    <w:rsid w:val="000044CD"/>
    <w:rsid w:val="000155BA"/>
    <w:rsid w:val="000159D1"/>
    <w:rsid w:val="00084AFD"/>
    <w:rsid w:val="00092669"/>
    <w:rsid w:val="000A57F4"/>
    <w:rsid w:val="000C0378"/>
    <w:rsid w:val="000C1624"/>
    <w:rsid w:val="000C70CE"/>
    <w:rsid w:val="000D3398"/>
    <w:rsid w:val="000D7DD0"/>
    <w:rsid w:val="000E55DC"/>
    <w:rsid w:val="00103D02"/>
    <w:rsid w:val="001070F3"/>
    <w:rsid w:val="001107E8"/>
    <w:rsid w:val="00123570"/>
    <w:rsid w:val="00166CAB"/>
    <w:rsid w:val="001806A5"/>
    <w:rsid w:val="00191D0D"/>
    <w:rsid w:val="00194D99"/>
    <w:rsid w:val="001C1719"/>
    <w:rsid w:val="001C7D7B"/>
    <w:rsid w:val="001D54DE"/>
    <w:rsid w:val="001E61C4"/>
    <w:rsid w:val="001E6739"/>
    <w:rsid w:val="00202FDE"/>
    <w:rsid w:val="00211911"/>
    <w:rsid w:val="0021697F"/>
    <w:rsid w:val="00256D0D"/>
    <w:rsid w:val="00292185"/>
    <w:rsid w:val="00294430"/>
    <w:rsid w:val="002B275B"/>
    <w:rsid w:val="002B6983"/>
    <w:rsid w:val="002E4416"/>
    <w:rsid w:val="002F0082"/>
    <w:rsid w:val="00303236"/>
    <w:rsid w:val="00304643"/>
    <w:rsid w:val="00310E87"/>
    <w:rsid w:val="00312CA9"/>
    <w:rsid w:val="00317A8B"/>
    <w:rsid w:val="00335170"/>
    <w:rsid w:val="00351942"/>
    <w:rsid w:val="00386218"/>
    <w:rsid w:val="00387040"/>
    <w:rsid w:val="003A7A27"/>
    <w:rsid w:val="003D5664"/>
    <w:rsid w:val="003D78AB"/>
    <w:rsid w:val="003D7D16"/>
    <w:rsid w:val="00403453"/>
    <w:rsid w:val="00411116"/>
    <w:rsid w:val="004306FD"/>
    <w:rsid w:val="004927BC"/>
    <w:rsid w:val="00496079"/>
    <w:rsid w:val="004A5AB5"/>
    <w:rsid w:val="004B23EB"/>
    <w:rsid w:val="004B7391"/>
    <w:rsid w:val="004C2631"/>
    <w:rsid w:val="004E1FAA"/>
    <w:rsid w:val="0050697D"/>
    <w:rsid w:val="00506E56"/>
    <w:rsid w:val="00514EFD"/>
    <w:rsid w:val="00525B31"/>
    <w:rsid w:val="005419C3"/>
    <w:rsid w:val="00546ACD"/>
    <w:rsid w:val="00564673"/>
    <w:rsid w:val="00567948"/>
    <w:rsid w:val="00570716"/>
    <w:rsid w:val="005829B9"/>
    <w:rsid w:val="005917A2"/>
    <w:rsid w:val="005A2EAD"/>
    <w:rsid w:val="005C7CFB"/>
    <w:rsid w:val="005D2131"/>
    <w:rsid w:val="005D7245"/>
    <w:rsid w:val="005E0D09"/>
    <w:rsid w:val="005E4B7C"/>
    <w:rsid w:val="005E6D6E"/>
    <w:rsid w:val="005F15FC"/>
    <w:rsid w:val="00613977"/>
    <w:rsid w:val="00626147"/>
    <w:rsid w:val="00652702"/>
    <w:rsid w:val="00653998"/>
    <w:rsid w:val="006544BC"/>
    <w:rsid w:val="00662E5C"/>
    <w:rsid w:val="00677158"/>
    <w:rsid w:val="006823D4"/>
    <w:rsid w:val="006865A3"/>
    <w:rsid w:val="006922ED"/>
    <w:rsid w:val="00697A0F"/>
    <w:rsid w:val="006A7AEE"/>
    <w:rsid w:val="006D092F"/>
    <w:rsid w:val="0071136D"/>
    <w:rsid w:val="00715B2D"/>
    <w:rsid w:val="007277CF"/>
    <w:rsid w:val="007302C2"/>
    <w:rsid w:val="0073307C"/>
    <w:rsid w:val="00745E7F"/>
    <w:rsid w:val="00757C26"/>
    <w:rsid w:val="0076567D"/>
    <w:rsid w:val="00785151"/>
    <w:rsid w:val="00796D9B"/>
    <w:rsid w:val="007A704C"/>
    <w:rsid w:val="007B0DC5"/>
    <w:rsid w:val="007B7C49"/>
    <w:rsid w:val="007C1671"/>
    <w:rsid w:val="007C517F"/>
    <w:rsid w:val="007D28B9"/>
    <w:rsid w:val="007D71AD"/>
    <w:rsid w:val="007E5577"/>
    <w:rsid w:val="008252F3"/>
    <w:rsid w:val="00841231"/>
    <w:rsid w:val="008421CD"/>
    <w:rsid w:val="00842CAC"/>
    <w:rsid w:val="00847694"/>
    <w:rsid w:val="008745DE"/>
    <w:rsid w:val="00887A35"/>
    <w:rsid w:val="008C11CA"/>
    <w:rsid w:val="008D2B30"/>
    <w:rsid w:val="008F1400"/>
    <w:rsid w:val="008F6BA7"/>
    <w:rsid w:val="009453B8"/>
    <w:rsid w:val="00947639"/>
    <w:rsid w:val="00977120"/>
    <w:rsid w:val="0098185D"/>
    <w:rsid w:val="009A0370"/>
    <w:rsid w:val="009B3C69"/>
    <w:rsid w:val="009B63CD"/>
    <w:rsid w:val="009C6D0C"/>
    <w:rsid w:val="009C6E61"/>
    <w:rsid w:val="009C777D"/>
    <w:rsid w:val="009D6E08"/>
    <w:rsid w:val="009E2AC0"/>
    <w:rsid w:val="009E3350"/>
    <w:rsid w:val="00A003A0"/>
    <w:rsid w:val="00A123E0"/>
    <w:rsid w:val="00A203BB"/>
    <w:rsid w:val="00A22E7C"/>
    <w:rsid w:val="00A40D1A"/>
    <w:rsid w:val="00A45877"/>
    <w:rsid w:val="00A547C3"/>
    <w:rsid w:val="00A706C9"/>
    <w:rsid w:val="00A73B18"/>
    <w:rsid w:val="00AA169B"/>
    <w:rsid w:val="00AB68BF"/>
    <w:rsid w:val="00AB7877"/>
    <w:rsid w:val="00AD20B7"/>
    <w:rsid w:val="00AD2840"/>
    <w:rsid w:val="00AD4FD6"/>
    <w:rsid w:val="00AD639B"/>
    <w:rsid w:val="00B2609F"/>
    <w:rsid w:val="00B30EA1"/>
    <w:rsid w:val="00B31F5A"/>
    <w:rsid w:val="00B3523A"/>
    <w:rsid w:val="00B41C0F"/>
    <w:rsid w:val="00B72472"/>
    <w:rsid w:val="00B852C3"/>
    <w:rsid w:val="00B86F9D"/>
    <w:rsid w:val="00BE4482"/>
    <w:rsid w:val="00BF2200"/>
    <w:rsid w:val="00C175BA"/>
    <w:rsid w:val="00C52834"/>
    <w:rsid w:val="00C665B1"/>
    <w:rsid w:val="00C830DF"/>
    <w:rsid w:val="00C957C8"/>
    <w:rsid w:val="00C97E30"/>
    <w:rsid w:val="00CA0C00"/>
    <w:rsid w:val="00CA419C"/>
    <w:rsid w:val="00CD716D"/>
    <w:rsid w:val="00CE0636"/>
    <w:rsid w:val="00CE75AE"/>
    <w:rsid w:val="00CF4A3F"/>
    <w:rsid w:val="00D02698"/>
    <w:rsid w:val="00D1159C"/>
    <w:rsid w:val="00D12EAC"/>
    <w:rsid w:val="00D2522C"/>
    <w:rsid w:val="00D45CCC"/>
    <w:rsid w:val="00D757D7"/>
    <w:rsid w:val="00DD288F"/>
    <w:rsid w:val="00DF5B58"/>
    <w:rsid w:val="00E00087"/>
    <w:rsid w:val="00E01377"/>
    <w:rsid w:val="00E02A7B"/>
    <w:rsid w:val="00E05B8B"/>
    <w:rsid w:val="00E15FF4"/>
    <w:rsid w:val="00E162FC"/>
    <w:rsid w:val="00E24C8F"/>
    <w:rsid w:val="00E32E0E"/>
    <w:rsid w:val="00E342FD"/>
    <w:rsid w:val="00E405F0"/>
    <w:rsid w:val="00E7639F"/>
    <w:rsid w:val="00E82564"/>
    <w:rsid w:val="00E86EE5"/>
    <w:rsid w:val="00E905E5"/>
    <w:rsid w:val="00E917B2"/>
    <w:rsid w:val="00EB620E"/>
    <w:rsid w:val="00EC7735"/>
    <w:rsid w:val="00ED01B2"/>
    <w:rsid w:val="00EE18B3"/>
    <w:rsid w:val="00EE2B91"/>
    <w:rsid w:val="00F13C55"/>
    <w:rsid w:val="00F16380"/>
    <w:rsid w:val="00F16921"/>
    <w:rsid w:val="00F355E0"/>
    <w:rsid w:val="00F4373A"/>
    <w:rsid w:val="00F45D63"/>
    <w:rsid w:val="00F63888"/>
    <w:rsid w:val="00F81A95"/>
    <w:rsid w:val="00F94CE2"/>
    <w:rsid w:val="00F97AD5"/>
    <w:rsid w:val="00FA11F7"/>
    <w:rsid w:val="00FB3E9B"/>
    <w:rsid w:val="00FC3527"/>
    <w:rsid w:val="00FD22D8"/>
    <w:rsid w:val="00FE11A4"/>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1247C-878C-45C2-B2D1-C061B1B1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694"/>
    <w:rPr>
      <w:color w:val="808080"/>
    </w:rPr>
  </w:style>
  <w:style w:type="paragraph" w:styleId="Header">
    <w:name w:val="header"/>
    <w:basedOn w:val="Normal"/>
    <w:link w:val="HeaderChar"/>
    <w:uiPriority w:val="99"/>
    <w:unhideWhenUsed/>
    <w:rsid w:val="00C83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DF"/>
  </w:style>
  <w:style w:type="paragraph" w:styleId="Footer">
    <w:name w:val="footer"/>
    <w:basedOn w:val="Normal"/>
    <w:link w:val="FooterChar"/>
    <w:uiPriority w:val="99"/>
    <w:unhideWhenUsed/>
    <w:rsid w:val="00C83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DF"/>
  </w:style>
  <w:style w:type="table" w:styleId="TableGrid">
    <w:name w:val="Table Grid"/>
    <w:basedOn w:val="TableNormal"/>
    <w:uiPriority w:val="59"/>
    <w:rsid w:val="00F63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F13C55"/>
    <w:pPr>
      <w:numPr>
        <w:numId w:val="1"/>
      </w:numPr>
      <w:contextualSpacing/>
    </w:pPr>
  </w:style>
  <w:style w:type="paragraph" w:styleId="BalloonText">
    <w:name w:val="Balloon Text"/>
    <w:basedOn w:val="Normal"/>
    <w:link w:val="BalloonTextChar"/>
    <w:uiPriority w:val="99"/>
    <w:semiHidden/>
    <w:unhideWhenUsed/>
    <w:rsid w:val="00514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FD"/>
    <w:rPr>
      <w:rFonts w:ascii="Tahoma" w:hAnsi="Tahoma" w:cs="Tahoma"/>
      <w:sz w:val="16"/>
      <w:szCs w:val="16"/>
    </w:rPr>
  </w:style>
  <w:style w:type="paragraph" w:customStyle="1" w:styleId="VSBullet">
    <w:name w:val="VS Bullet"/>
    <w:basedOn w:val="Normal"/>
    <w:rsid w:val="00E342F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E162FC"/>
    <w:pPr>
      <w:ind w:left="720"/>
      <w:contextualSpacing/>
    </w:pPr>
  </w:style>
  <w:style w:type="character" w:styleId="Hyperlink">
    <w:name w:val="Hyperlink"/>
    <w:basedOn w:val="DefaultParagraphFont"/>
    <w:uiPriority w:val="99"/>
    <w:semiHidden/>
    <w:unhideWhenUsed/>
    <w:rsid w:val="00256D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1976">
      <w:bodyDiv w:val="1"/>
      <w:marLeft w:val="0"/>
      <w:marRight w:val="0"/>
      <w:marTop w:val="0"/>
      <w:marBottom w:val="0"/>
      <w:divBdr>
        <w:top w:val="none" w:sz="0" w:space="0" w:color="auto"/>
        <w:left w:val="none" w:sz="0" w:space="0" w:color="auto"/>
        <w:bottom w:val="none" w:sz="0" w:space="0" w:color="auto"/>
        <w:right w:val="none" w:sz="0" w:space="0" w:color="auto"/>
      </w:divBdr>
    </w:div>
    <w:div w:id="371685422">
      <w:bodyDiv w:val="1"/>
      <w:marLeft w:val="0"/>
      <w:marRight w:val="0"/>
      <w:marTop w:val="0"/>
      <w:marBottom w:val="0"/>
      <w:divBdr>
        <w:top w:val="none" w:sz="0" w:space="0" w:color="auto"/>
        <w:left w:val="none" w:sz="0" w:space="0" w:color="auto"/>
        <w:bottom w:val="none" w:sz="0" w:space="0" w:color="auto"/>
        <w:right w:val="none" w:sz="0" w:space="0" w:color="auto"/>
      </w:divBdr>
    </w:div>
    <w:div w:id="376704068">
      <w:bodyDiv w:val="1"/>
      <w:marLeft w:val="0"/>
      <w:marRight w:val="0"/>
      <w:marTop w:val="0"/>
      <w:marBottom w:val="0"/>
      <w:divBdr>
        <w:top w:val="none" w:sz="0" w:space="0" w:color="auto"/>
        <w:left w:val="none" w:sz="0" w:space="0" w:color="auto"/>
        <w:bottom w:val="none" w:sz="0" w:space="0" w:color="auto"/>
        <w:right w:val="none" w:sz="0" w:space="0" w:color="auto"/>
      </w:divBdr>
    </w:div>
    <w:div w:id="868103483">
      <w:bodyDiv w:val="1"/>
      <w:marLeft w:val="0"/>
      <w:marRight w:val="0"/>
      <w:marTop w:val="0"/>
      <w:marBottom w:val="0"/>
      <w:divBdr>
        <w:top w:val="none" w:sz="0" w:space="0" w:color="auto"/>
        <w:left w:val="none" w:sz="0" w:space="0" w:color="auto"/>
        <w:bottom w:val="none" w:sz="0" w:space="0" w:color="auto"/>
        <w:right w:val="none" w:sz="0" w:space="0" w:color="auto"/>
      </w:divBdr>
    </w:div>
    <w:div w:id="915699855">
      <w:bodyDiv w:val="1"/>
      <w:marLeft w:val="0"/>
      <w:marRight w:val="0"/>
      <w:marTop w:val="0"/>
      <w:marBottom w:val="0"/>
      <w:divBdr>
        <w:top w:val="none" w:sz="0" w:space="0" w:color="auto"/>
        <w:left w:val="none" w:sz="0" w:space="0" w:color="auto"/>
        <w:bottom w:val="none" w:sz="0" w:space="0" w:color="auto"/>
        <w:right w:val="none" w:sz="0" w:space="0" w:color="auto"/>
      </w:divBdr>
    </w:div>
    <w:div w:id="945117330">
      <w:bodyDiv w:val="1"/>
      <w:marLeft w:val="0"/>
      <w:marRight w:val="0"/>
      <w:marTop w:val="0"/>
      <w:marBottom w:val="0"/>
      <w:divBdr>
        <w:top w:val="none" w:sz="0" w:space="0" w:color="auto"/>
        <w:left w:val="none" w:sz="0" w:space="0" w:color="auto"/>
        <w:bottom w:val="none" w:sz="0" w:space="0" w:color="auto"/>
        <w:right w:val="none" w:sz="0" w:space="0" w:color="auto"/>
      </w:divBdr>
    </w:div>
    <w:div w:id="1110511876">
      <w:bodyDiv w:val="1"/>
      <w:marLeft w:val="0"/>
      <w:marRight w:val="0"/>
      <w:marTop w:val="0"/>
      <w:marBottom w:val="0"/>
      <w:divBdr>
        <w:top w:val="none" w:sz="0" w:space="0" w:color="auto"/>
        <w:left w:val="none" w:sz="0" w:space="0" w:color="auto"/>
        <w:bottom w:val="none" w:sz="0" w:space="0" w:color="auto"/>
        <w:right w:val="none" w:sz="0" w:space="0" w:color="auto"/>
      </w:divBdr>
    </w:div>
    <w:div w:id="1168866082">
      <w:bodyDiv w:val="1"/>
      <w:marLeft w:val="0"/>
      <w:marRight w:val="0"/>
      <w:marTop w:val="0"/>
      <w:marBottom w:val="0"/>
      <w:divBdr>
        <w:top w:val="none" w:sz="0" w:space="0" w:color="auto"/>
        <w:left w:val="none" w:sz="0" w:space="0" w:color="auto"/>
        <w:bottom w:val="none" w:sz="0" w:space="0" w:color="auto"/>
        <w:right w:val="none" w:sz="0" w:space="0" w:color="auto"/>
      </w:divBdr>
    </w:div>
    <w:div w:id="1901363010">
      <w:bodyDiv w:val="1"/>
      <w:marLeft w:val="0"/>
      <w:marRight w:val="0"/>
      <w:marTop w:val="0"/>
      <w:marBottom w:val="0"/>
      <w:divBdr>
        <w:top w:val="none" w:sz="0" w:space="0" w:color="auto"/>
        <w:left w:val="none" w:sz="0" w:space="0" w:color="auto"/>
        <w:bottom w:val="none" w:sz="0" w:space="0" w:color="auto"/>
        <w:right w:val="none" w:sz="0" w:space="0" w:color="auto"/>
      </w:divBdr>
    </w:div>
    <w:div w:id="210568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gentumsolutions.com/corcalculator/Alloydensity.html" TargetMode="External"/><Relationship Id="rId4" Type="http://schemas.openxmlformats.org/officeDocument/2006/relationships/settings" Target="settings.xml"/><Relationship Id="rId9" Type="http://schemas.openxmlformats.org/officeDocument/2006/relationships/hyperlink" Target="http://www.avlandesign.com/density_met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780B72-F755-4F80-9EE3-86A8D566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15</cp:revision>
  <dcterms:created xsi:type="dcterms:W3CDTF">2013-02-09T19:07:00Z</dcterms:created>
  <dcterms:modified xsi:type="dcterms:W3CDTF">2013-02-14T01:29:00Z</dcterms:modified>
</cp:coreProperties>
</file>